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25645">
      <w:pPr>
        <w:pStyle w:val="20"/>
        <w:spacing w:line="360" w:lineRule="auto"/>
        <w:jc w:val="center"/>
        <w:rPr>
          <w:rStyle w:val="44"/>
          <w:rFonts w:ascii="Times New Roman" w:hAnsi="Times New Roman" w:eastAsia="Times New Roman" w:cs="Times New Roman"/>
          <w:b/>
          <w:bCs/>
          <w:color w:val="000000"/>
          <w:sz w:val="28"/>
          <w:szCs w:val="28"/>
        </w:rPr>
      </w:pPr>
      <w:r>
        <w:rPr>
          <w:rStyle w:val="44"/>
          <w:rFonts w:ascii="Times New Roman" w:hAnsi="Times New Roman" w:eastAsia="Times New Roman" w:cs="Times New Roman"/>
          <w:b/>
          <w:bCs/>
          <w:color w:val="000000"/>
          <w:sz w:val="28"/>
          <w:szCs w:val="28"/>
        </w:rPr>
        <w:t>.</w:t>
      </w:r>
    </w:p>
    <w:p w14:paraId="64129F89">
      <w:pPr>
        <w:pStyle w:val="20"/>
        <w:spacing w:after="0"/>
        <w:jc w:val="center"/>
        <w:rPr>
          <w:rStyle w:val="44"/>
          <w:rFonts w:ascii="Times New Roman" w:hAnsi="Times New Roman" w:eastAsia="Times New Roman" w:cs="Times New Roman"/>
          <w:b/>
          <w:bCs/>
          <w:color w:val="000000"/>
          <w:sz w:val="28"/>
          <w:szCs w:val="28"/>
        </w:rPr>
      </w:pPr>
      <w:bookmarkStart w:id="0" w:name="_GoBack"/>
      <w:r>
        <w:rPr>
          <w:rStyle w:val="44"/>
          <w:rFonts w:ascii="Times New Roman" w:hAnsi="Times New Roman" w:eastAsia="Times New Roman" w:cs="Times New Roman"/>
          <w:b/>
          <w:bCs/>
          <w:color w:val="000000"/>
          <w:sz w:val="28"/>
          <w:szCs w:val="28"/>
        </w:rPr>
        <w:t>VICTIM-CENTRED JUSTICE</w:t>
      </w:r>
      <w:bookmarkEnd w:id="0"/>
      <w:r>
        <w:rPr>
          <w:rStyle w:val="44"/>
          <w:rFonts w:ascii="Times New Roman" w:hAnsi="Times New Roman" w:eastAsia="Times New Roman" w:cs="Times New Roman"/>
          <w:b/>
          <w:bCs/>
          <w:color w:val="000000"/>
          <w:sz w:val="28"/>
          <w:szCs w:val="28"/>
        </w:rPr>
        <w:t xml:space="preserve">: </w:t>
      </w:r>
    </w:p>
    <w:p w14:paraId="03D33E7E">
      <w:pPr>
        <w:pStyle w:val="20"/>
        <w:spacing w:after="0"/>
        <w:jc w:val="center"/>
        <w:rPr>
          <w:rStyle w:val="44"/>
          <w:rFonts w:ascii="Times New Roman" w:hAnsi="Times New Roman" w:eastAsia="Times New Roman" w:cs="Times New Roman"/>
          <w:b/>
          <w:bCs/>
          <w:color w:val="000000"/>
          <w:sz w:val="28"/>
          <w:szCs w:val="28"/>
        </w:rPr>
      </w:pPr>
      <w:r>
        <w:rPr>
          <w:rStyle w:val="44"/>
          <w:rFonts w:ascii="Times New Roman" w:hAnsi="Times New Roman" w:eastAsia="Times New Roman" w:cs="Times New Roman"/>
          <w:b/>
          <w:bCs/>
          <w:color w:val="000000"/>
          <w:sz w:val="28"/>
          <w:szCs w:val="28"/>
        </w:rPr>
        <w:t xml:space="preserve">UNDERSTANDING HOW TRAUMA AFFECTS WITNESS MEMORY AND PARTICIPATION IN COURT PROCEEDINGS </w:t>
      </w:r>
    </w:p>
    <w:p w14:paraId="6E40D55A"/>
    <w:p w14:paraId="5AA1A0C8">
      <w:pPr>
        <w:pStyle w:val="20"/>
        <w:spacing w:after="0"/>
        <w:jc w:val="center"/>
        <w:rPr>
          <w:rFonts w:ascii="Times New Roman" w:hAnsi="Times New Roman" w:cs="Times New Roman"/>
          <w:sz w:val="28"/>
          <w:szCs w:val="28"/>
        </w:rPr>
      </w:pPr>
      <w:r>
        <w:rPr>
          <w:rFonts w:ascii="Times New Roman" w:hAnsi="Times New Roman" w:cs="Times New Roman"/>
          <w:sz w:val="28"/>
          <w:szCs w:val="28"/>
        </w:rPr>
        <w:t xml:space="preserve">Synopsis of a paper to be presented at the: </w:t>
      </w:r>
    </w:p>
    <w:p w14:paraId="3ADE81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Induction Course for newly-appointed J</w:t>
      </w:r>
      <w:r>
        <w:rPr>
          <w:rFonts w:ascii="Times New Roman" w:hAnsi="Times New Roman" w:cs="Times New Roman"/>
          <w:kern w:val="0"/>
          <w:sz w:val="28"/>
          <w:szCs w:val="28"/>
          <w:lang w:val="en-US"/>
          <w14:ligatures w14:val="none"/>
        </w:rPr>
        <w:t>udges of the Lower Courts</w:t>
      </w:r>
    </w:p>
    <w:p w14:paraId="4D6AC0B7">
      <w:pPr>
        <w:spacing w:after="0" w:line="240" w:lineRule="auto"/>
        <w:jc w:val="center"/>
        <w:rPr>
          <w:rFonts w:ascii="Times New Roman" w:hAnsi="Times New Roman" w:cs="Times New Roman"/>
          <w:sz w:val="28"/>
          <w:szCs w:val="28"/>
        </w:rPr>
      </w:pPr>
    </w:p>
    <w:p w14:paraId="184073F3">
      <w:pPr>
        <w:spacing w:after="0" w:line="240" w:lineRule="auto"/>
        <w:jc w:val="center"/>
        <w:rPr>
          <w:rFonts w:ascii="Times New Roman" w:hAnsi="Times New Roman" w:cs="Times New Roman"/>
          <w:sz w:val="28"/>
          <w:szCs w:val="28"/>
        </w:rPr>
      </w:pPr>
    </w:p>
    <w:p w14:paraId="14B5E8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Course theme: </w:t>
      </w:r>
    </w:p>
    <w:p w14:paraId="736EE010">
      <w:pPr>
        <w:spacing w:after="0" w:line="240" w:lineRule="auto"/>
        <w:jc w:val="center"/>
        <w:rPr>
          <w:rFonts w:ascii="Times New Roman" w:hAnsi="Times New Roman" w:cs="Times New Roman"/>
          <w:b/>
          <w:bCs/>
          <w:sz w:val="28"/>
          <w:szCs w:val="28"/>
        </w:rPr>
      </w:pPr>
      <w:r>
        <w:rPr>
          <w:rFonts w:ascii="Times New Roman" w:hAnsi="Times New Roman" w:eastAsia="Times New Roman" w:cs="Times New Roman"/>
          <w:b/>
          <w:bCs/>
          <w:sz w:val="28"/>
          <w:szCs w:val="28"/>
        </w:rPr>
        <w:t>ENHANCING JUDICIAL EFFICIENCY IN QUALITY OF DECISION MAKING</w:t>
      </w:r>
    </w:p>
    <w:p w14:paraId="4BD1C7E9">
      <w:pPr>
        <w:spacing w:after="0" w:line="240" w:lineRule="auto"/>
        <w:jc w:val="center"/>
        <w:rPr>
          <w:rFonts w:ascii="Times New Roman" w:hAnsi="Times New Roman" w:cs="Times New Roman"/>
          <w:sz w:val="28"/>
          <w:szCs w:val="28"/>
        </w:rPr>
      </w:pPr>
    </w:p>
    <w:p w14:paraId="76B969C3">
      <w:pPr>
        <w:spacing w:after="0" w:line="240" w:lineRule="auto"/>
        <w:jc w:val="center"/>
        <w:rPr>
          <w:rFonts w:ascii="Times New Roman" w:hAnsi="Times New Roman" w:cs="Times New Roman"/>
          <w:sz w:val="28"/>
          <w:szCs w:val="28"/>
        </w:rPr>
      </w:pPr>
    </w:p>
    <w:p w14:paraId="77EC08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Venue</w:t>
      </w:r>
    </w:p>
    <w:p w14:paraId="3505B6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Andrews Otutu Obaseki Auditorium</w:t>
      </w:r>
    </w:p>
    <w:p w14:paraId="3740B7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National Judicial Institute, Abuja</w:t>
      </w:r>
    </w:p>
    <w:p w14:paraId="25EA5D76">
      <w:pPr>
        <w:spacing w:after="0" w:line="240" w:lineRule="auto"/>
        <w:jc w:val="center"/>
        <w:rPr>
          <w:rFonts w:ascii="Times New Roman" w:hAnsi="Times New Roman" w:cs="Times New Roman" w:eastAsiaTheme="majorEastAsia"/>
          <w:spacing w:val="-10"/>
          <w:kern w:val="28"/>
          <w:sz w:val="28"/>
          <w:szCs w:val="28"/>
        </w:rPr>
      </w:pPr>
      <w:r>
        <w:rPr>
          <w:rFonts w:ascii="Times New Roman" w:hAnsi="Times New Roman" w:cs="Times New Roman" w:eastAsiaTheme="majorEastAsia"/>
          <w:spacing w:val="-10"/>
          <w:kern w:val="28"/>
          <w:sz w:val="28"/>
          <w:szCs w:val="28"/>
        </w:rPr>
        <w:t>Thursday 22</w:t>
      </w:r>
      <w:r>
        <w:rPr>
          <w:rFonts w:ascii="Times New Roman" w:hAnsi="Times New Roman" w:cs="Times New Roman" w:eastAsiaTheme="majorEastAsia"/>
          <w:spacing w:val="-10"/>
          <w:kern w:val="28"/>
          <w:sz w:val="28"/>
          <w:szCs w:val="28"/>
          <w:vertAlign w:val="superscript"/>
        </w:rPr>
        <w:t>nd</w:t>
      </w:r>
      <w:r>
        <w:rPr>
          <w:rFonts w:ascii="Times New Roman" w:hAnsi="Times New Roman" w:cs="Times New Roman" w:eastAsiaTheme="majorEastAsia"/>
          <w:spacing w:val="-10"/>
          <w:kern w:val="28"/>
          <w:sz w:val="28"/>
          <w:szCs w:val="28"/>
        </w:rPr>
        <w:t xml:space="preserve"> May 2025</w:t>
      </w:r>
    </w:p>
    <w:p w14:paraId="750F5B80">
      <w:pPr>
        <w:spacing w:after="0" w:line="240" w:lineRule="auto"/>
        <w:jc w:val="center"/>
        <w:rPr>
          <w:rFonts w:ascii="Times New Roman" w:hAnsi="Times New Roman" w:cs="Times New Roman"/>
          <w:sz w:val="28"/>
          <w:szCs w:val="28"/>
        </w:rPr>
      </w:pPr>
    </w:p>
    <w:p w14:paraId="69F60790">
      <w:pPr>
        <w:spacing w:after="0" w:line="240" w:lineRule="auto"/>
        <w:jc w:val="center"/>
        <w:rPr>
          <w:rFonts w:ascii="Times New Roman" w:hAnsi="Times New Roman" w:cs="Times New Roman"/>
          <w:sz w:val="28"/>
          <w:szCs w:val="28"/>
        </w:rPr>
      </w:pPr>
    </w:p>
    <w:p w14:paraId="66F743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Organiser</w:t>
      </w:r>
    </w:p>
    <w:p w14:paraId="51ADF83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Continuing Judicial Education Programmes (CJEP)</w:t>
      </w:r>
    </w:p>
    <w:p w14:paraId="20A136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National Judicial Institute, Abuja</w:t>
      </w:r>
    </w:p>
    <w:p w14:paraId="3A412048">
      <w:pPr>
        <w:spacing w:after="0" w:line="240" w:lineRule="auto"/>
        <w:jc w:val="center"/>
        <w:rPr>
          <w:rFonts w:ascii="Times New Roman" w:hAnsi="Times New Roman" w:cs="Times New Roman"/>
          <w:sz w:val="28"/>
          <w:szCs w:val="28"/>
        </w:rPr>
      </w:pPr>
    </w:p>
    <w:p w14:paraId="6062DA24">
      <w:pPr>
        <w:spacing w:after="0" w:line="240" w:lineRule="auto"/>
        <w:jc w:val="center"/>
        <w:rPr>
          <w:rFonts w:ascii="Times New Roman" w:hAnsi="Times New Roman" w:cs="Times New Roman"/>
          <w:sz w:val="28"/>
          <w:szCs w:val="28"/>
        </w:rPr>
      </w:pPr>
    </w:p>
    <w:p w14:paraId="27157F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Presenter</w:t>
      </w:r>
    </w:p>
    <w:p w14:paraId="241CBD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Professor Sarah Agnela Simons</w:t>
      </w:r>
    </w:p>
    <w:p w14:paraId="11E8C3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Forensic Victimology and Criminology Professor</w:t>
      </w:r>
    </w:p>
    <w:p w14:paraId="3432B1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Department of Sociology, Faculty of Social Sciences, Ahmadu Bello University.</w:t>
      </w:r>
    </w:p>
    <w:p w14:paraId="13AEE91E">
      <w:pPr>
        <w:spacing w:after="0" w:line="240" w:lineRule="auto"/>
        <w:jc w:val="center"/>
      </w:pPr>
      <w:r>
        <w:rPr>
          <w:rFonts w:ascii="Times New Roman" w:hAnsi="Times New Roman" w:cs="Times New Roman"/>
          <w:sz w:val="28"/>
          <w:szCs w:val="28"/>
        </w:rPr>
        <w:t xml:space="preserve">Executive Committee Member, World Society of Victimology </w:t>
      </w:r>
      <w:r>
        <w:fldChar w:fldCharType="begin"/>
      </w:r>
      <w:r>
        <w:instrText xml:space="preserve"> HYPERLINK "http://www.worldsocietyofvictimology.org" </w:instrText>
      </w:r>
      <w:r>
        <w:fldChar w:fldCharType="separate"/>
      </w:r>
      <w:r>
        <w:rPr>
          <w:rStyle w:val="18"/>
          <w:rFonts w:ascii="Times New Roman" w:hAnsi="Times New Roman" w:cs="Times New Roman"/>
          <w:sz w:val="28"/>
          <w:szCs w:val="28"/>
        </w:rPr>
        <w:t>www.worldsocietyofvictimology.org</w:t>
      </w:r>
      <w:r>
        <w:rPr>
          <w:rStyle w:val="18"/>
          <w:rFonts w:ascii="Times New Roman" w:hAnsi="Times New Roman" w:cs="Times New Roman"/>
          <w:sz w:val="28"/>
          <w:szCs w:val="28"/>
        </w:rPr>
        <w:fldChar w:fldCharType="end"/>
      </w:r>
    </w:p>
    <w:p w14:paraId="5ED84307">
      <w:r>
        <w:br w:type="page"/>
      </w:r>
    </w:p>
    <w:p w14:paraId="20AEC653">
      <w:pPr>
        <w:spacing w:after="0" w:line="240" w:lineRule="auto"/>
        <w:jc w:val="center"/>
        <w:rPr>
          <w:rFonts w:ascii="Times New Roman" w:hAnsi="Times New Roman" w:cs="Times New Roman"/>
          <w:sz w:val="28"/>
          <w:szCs w:val="28"/>
        </w:rPr>
      </w:pPr>
    </w:p>
    <w:p w14:paraId="5E3B021F">
      <w:pPr>
        <w:shd w:val="clear" w:color="auto" w:fill="FFFFFF" w:themeFill="background1"/>
        <w:spacing w:line="360" w:lineRule="auto"/>
        <w:jc w:val="both"/>
        <w:rPr>
          <w:rFonts w:ascii="Times New Roman" w:hAnsi="Times New Roman" w:cs="Times New Roman"/>
          <w:sz w:val="28"/>
          <w:szCs w:val="28"/>
        </w:rPr>
      </w:pPr>
    </w:p>
    <w:p w14:paraId="7275F6AA">
      <w:pPr>
        <w:pStyle w:val="34"/>
        <w:numPr>
          <w:ilvl w:val="0"/>
          <w:numId w:val="1"/>
        </w:numPr>
        <w:shd w:val="clear" w:color="auto" w:fill="FFFFFF" w:themeFill="background1"/>
        <w:spacing w:after="0" w:line="360" w:lineRule="auto"/>
        <w:ind w:left="709"/>
        <w:rPr>
          <w:rFonts w:ascii="Times New Roman" w:hAnsi="Times New Roman" w:cs="Times New Roman"/>
          <w:sz w:val="28"/>
          <w:szCs w:val="28"/>
        </w:rPr>
      </w:pPr>
      <w:r>
        <w:rPr>
          <w:rFonts w:ascii="Times New Roman" w:hAnsi="Times New Roman" w:cs="Times New Roman"/>
          <w:b/>
          <w:bCs/>
          <w:sz w:val="28"/>
          <w:szCs w:val="28"/>
        </w:rPr>
        <w:t>Introduction</w:t>
      </w:r>
    </w:p>
    <w:p w14:paraId="11860F5A">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Since the inception of modern criminal justice systems, their inter-agency processes have focused on the offender and their actions. From crime investigation, apprehending suspects, compiling case files, trial and punishment, due process has been designed with the perpetrator in mind. However from the 1950s, a shift in attention towards the victims of crime began with a growing interest in trying to understand and respond to the needs of individuals and communities harmed by crime.  This paradigm shift began with the invention in 1947 of the term ‘victim’ by Benjamin Mendelsohn (The Father of Victimology) in referring to individuals who experience harm caused by crime. Inter-disciplinary debates, conferences and research among academia, policy makers, researchers and practitioners at regional and international levels provided platforms through which Victimology earned its place first as an academic sub-discipline of Criminology, and subsequently as a discipline recognised worldwide. </w:t>
      </w:r>
    </w:p>
    <w:p w14:paraId="42734783">
      <w:pPr>
        <w:shd w:val="clear" w:color="auto" w:fill="FFFFFF" w:themeFill="background1"/>
        <w:spacing w:after="0" w:line="360" w:lineRule="auto"/>
        <w:jc w:val="both"/>
        <w:rPr>
          <w:rFonts w:ascii="Times New Roman" w:hAnsi="Times New Roman" w:cs="Times New Roman"/>
          <w:sz w:val="28"/>
          <w:szCs w:val="28"/>
        </w:rPr>
      </w:pPr>
    </w:p>
    <w:p w14:paraId="1B7C0A6C">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Victimology as the study of the impact of crime on victims and society’s response to victimisation has gradually found practical application in Victim Assistance, Victim Support and in Witness Support programs. While the delivery of such victim-centred initiatives varies by context and resources, victim service delivery continues to serve as avenues for reinstating victims to their rightful place as stakeholders of criminal justice. Efforts to increase the active participation of victims of crime in crime prevention, in court procedures, and public safety policy mechanisms have entailed establishing procedures and legislation that has led to moving people harmed by crime from the periphery as mere ‘reservoirs of evidence’, to becoming active participants in court proceedings. Today, victim-centeredness is considered to be a hallmark of progressive Criminal Justice Systems. </w:t>
      </w:r>
    </w:p>
    <w:p w14:paraId="7AE7C5A1">
      <w:pPr>
        <w:shd w:val="clear" w:color="auto" w:fill="FFFFFF" w:themeFill="background1"/>
        <w:spacing w:after="0" w:line="360" w:lineRule="auto"/>
        <w:jc w:val="both"/>
        <w:rPr>
          <w:rFonts w:ascii="Times New Roman" w:hAnsi="Times New Roman" w:cs="Times New Roman"/>
          <w:sz w:val="28"/>
          <w:szCs w:val="28"/>
        </w:rPr>
      </w:pPr>
    </w:p>
    <w:p w14:paraId="36851B8C">
      <w:pPr>
        <w:spacing w:line="360" w:lineRule="auto"/>
        <w:ind w:left="66"/>
        <w:jc w:val="both"/>
        <w:rPr>
          <w:rFonts w:ascii="Times New Roman" w:hAnsi="Times New Roman" w:cs="Times New Roman"/>
          <w:sz w:val="28"/>
          <w:szCs w:val="28"/>
        </w:rPr>
      </w:pPr>
      <w:r>
        <w:rPr>
          <w:rFonts w:ascii="Times New Roman" w:hAnsi="Times New Roman" w:cs="Times New Roman"/>
          <w:sz w:val="28"/>
          <w:szCs w:val="28"/>
        </w:rPr>
        <w:t xml:space="preserve">Adoption of </w:t>
      </w:r>
      <w:r>
        <w:rPr>
          <w:rFonts w:ascii="Times New Roman" w:hAnsi="Times New Roman" w:eastAsia="Times New Roman" w:cs="Times New Roman"/>
          <w:i/>
          <w:iCs/>
          <w:sz w:val="28"/>
          <w:szCs w:val="28"/>
        </w:rPr>
        <w:t>United Nations Declaration of Basic Principles of Justice for Victims of Crime and Abuse of Power</w:t>
      </w:r>
      <w:r>
        <w:rPr>
          <w:rFonts w:ascii="Times New Roman" w:hAnsi="Times New Roman" w:eastAsia="Times New Roman" w:cs="Times New Roman"/>
          <w:sz w:val="28"/>
          <w:szCs w:val="28"/>
        </w:rPr>
        <w:t xml:space="preserve"> in 1985 was a major milestone in global efforts to serve victims. The Declaration provided the following conceptual definition of ‘victim’ and practical guidelines on how victims’ needs can be incorporated in policy and practice and a gradual worldwide shift in focus from the offender towards </w:t>
      </w:r>
      <w:r>
        <w:rPr>
          <w:rFonts w:ascii="Times New Roman" w:hAnsi="Times New Roman" w:cs="Times New Roman"/>
          <w:sz w:val="28"/>
          <w:szCs w:val="28"/>
        </w:rPr>
        <w:t xml:space="preserve">victims of crime. </w:t>
      </w:r>
    </w:p>
    <w:p w14:paraId="11D1E8A6">
      <w:pPr>
        <w:spacing w:after="0" w:line="276" w:lineRule="auto"/>
        <w:ind w:left="851" w:right="126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Who is a victim?</w:t>
      </w:r>
    </w:p>
    <w:p w14:paraId="1C062EE2">
      <w:pPr>
        <w:spacing w:after="0" w:line="276" w:lineRule="auto"/>
        <w:ind w:left="851" w:right="1269"/>
        <w:jc w:val="both"/>
        <w:rPr>
          <w:rFonts w:ascii="Times New Roman" w:hAnsi="Times New Roman" w:eastAsia="Times New Roman" w:cs="Times New Roman"/>
          <w:i/>
          <w:iCs/>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i/>
          <w:iCs/>
          <w:sz w:val="28"/>
          <w:szCs w:val="28"/>
        </w:rPr>
        <w:t>The term VICTIM means person(s) who, individually or collectively, have suffered harm, including physical or mental injury, emotional suffering, economic loss or substantial impairment of their fundamental rights, through acts or omissions that are in violation of criminal laws operative within Member States, including those laws proscribing criminal abuse of power.</w:t>
      </w:r>
    </w:p>
    <w:p w14:paraId="34415B96">
      <w:pPr>
        <w:spacing w:after="0" w:line="276" w:lineRule="auto"/>
        <w:ind w:left="851" w:right="1269"/>
        <w:jc w:val="both"/>
        <w:rPr>
          <w:rFonts w:ascii="Times New Roman" w:hAnsi="Times New Roman" w:eastAsia="Times New Roman" w:cs="Times New Roman"/>
          <w:i/>
          <w:iCs/>
          <w:sz w:val="28"/>
          <w:szCs w:val="28"/>
        </w:rPr>
      </w:pPr>
    </w:p>
    <w:p w14:paraId="4A6347E8">
      <w:pPr>
        <w:spacing w:after="0" w:line="276" w:lineRule="auto"/>
        <w:ind w:left="851" w:right="1269"/>
        <w:jc w:val="both"/>
        <w:rPr>
          <w:rFonts w:ascii="Times New Roman" w:hAnsi="Times New Roman" w:eastAsia="Times New Roman" w:cs="Times New Roman"/>
          <w:sz w:val="28"/>
          <w:szCs w:val="28"/>
        </w:rPr>
      </w:pPr>
      <w:r>
        <w:rPr>
          <w:rFonts w:ascii="Times New Roman" w:hAnsi="Times New Roman" w:eastAsia="Times New Roman" w:cs="Times New Roman"/>
          <w:i/>
          <w:iCs/>
          <w:sz w:val="28"/>
          <w:szCs w:val="28"/>
        </w:rPr>
        <w:t>A person may be considered a victim, under this Declaration, regardless of whether or not the perpetrator is identified, apprehended, prosecuted or convicted and regardless of the familial relationship between the perpetrator and the victim. The term "victim" also includes, where appropriate, the immediate family or dependants of the direct victim and persons who have suffered harm in intervening to assist victims in distress or to prevent victimization</w:t>
      </w:r>
      <w:r>
        <w:rPr>
          <w:rFonts w:ascii="Times New Roman" w:hAnsi="Times New Roman" w:eastAsia="Times New Roman" w:cs="Times New Roman"/>
          <w:sz w:val="28"/>
          <w:szCs w:val="28"/>
        </w:rPr>
        <w:t xml:space="preserve">”. </w:t>
      </w:r>
    </w:p>
    <w:p w14:paraId="046A7643">
      <w:pPr>
        <w:spacing w:after="0" w:line="276" w:lineRule="auto"/>
        <w:ind w:left="851" w:right="1269"/>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(UN Declaration of Basic Principles of Justice for Victims of Crime and Abuse of Power</w:t>
      </w:r>
    </w:p>
    <w:p w14:paraId="5DCA74E2">
      <w:pPr>
        <w:spacing w:after="0" w:line="276" w:lineRule="auto"/>
        <w:ind w:left="851" w:right="1269"/>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UN General Assembly 96th plenary meeting 29</w:t>
      </w:r>
      <w:r>
        <w:rPr>
          <w:rFonts w:ascii="Times New Roman" w:hAnsi="Times New Roman" w:eastAsia="Times New Roman" w:cs="Times New Roman"/>
          <w:sz w:val="28"/>
          <w:szCs w:val="28"/>
          <w:vertAlign w:val="superscript"/>
        </w:rPr>
        <w:t>th</w:t>
      </w:r>
      <w:r>
        <w:rPr>
          <w:rFonts w:ascii="Times New Roman" w:hAnsi="Times New Roman" w:eastAsia="Times New Roman" w:cs="Times New Roman"/>
          <w:sz w:val="28"/>
          <w:szCs w:val="28"/>
        </w:rPr>
        <w:t xml:space="preserve"> November 1985, Resolution 40/34 </w:t>
      </w:r>
      <w:r>
        <w:fldChar w:fldCharType="begin"/>
      </w:r>
      <w:r>
        <w:instrText xml:space="preserve"> HYPERLINK "https://legal.un.org" </w:instrText>
      </w:r>
      <w:r>
        <w:fldChar w:fldCharType="separate"/>
      </w:r>
      <w:r>
        <w:rPr>
          <w:rStyle w:val="18"/>
          <w:rFonts w:ascii="Times New Roman" w:hAnsi="Times New Roman" w:eastAsia="Times New Roman" w:cs="Times New Roman"/>
          <w:sz w:val="28"/>
          <w:szCs w:val="28"/>
        </w:rPr>
        <w:t>https://legal.un.org</w:t>
      </w:r>
      <w:r>
        <w:rPr>
          <w:rStyle w:val="18"/>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w:t>
      </w:r>
    </w:p>
    <w:p w14:paraId="33E7E0E0">
      <w:pPr>
        <w:spacing w:line="360" w:lineRule="auto"/>
        <w:ind w:left="66"/>
        <w:jc w:val="both"/>
        <w:rPr>
          <w:rFonts w:ascii="Times New Roman" w:hAnsi="Times New Roman" w:cs="Times New Roman"/>
          <w:sz w:val="28"/>
          <w:szCs w:val="28"/>
        </w:rPr>
      </w:pPr>
    </w:p>
    <w:p w14:paraId="68B7F7DA">
      <w:pPr>
        <w:spacing w:line="360" w:lineRule="auto"/>
        <w:ind w:left="66"/>
        <w:jc w:val="both"/>
        <w:rPr>
          <w:rFonts w:ascii="Times New Roman" w:hAnsi="Times New Roman" w:cs="Times New Roman"/>
          <w:sz w:val="28"/>
          <w:szCs w:val="28"/>
        </w:rPr>
      </w:pPr>
      <w:r>
        <w:rPr>
          <w:rFonts w:ascii="Times New Roman" w:hAnsi="Times New Roman" w:cs="Times New Roman"/>
          <w:sz w:val="28"/>
          <w:szCs w:val="28"/>
        </w:rPr>
        <w:t>In providing thus universally-accepted definition for the term ‘victim’,</w:t>
      </w:r>
      <w:r>
        <w:rPr>
          <w:rFonts w:ascii="Times New Roman" w:hAnsi="Times New Roman" w:cs="Times New Roman"/>
          <w:i/>
          <w:iCs/>
          <w:sz w:val="28"/>
          <w:szCs w:val="28"/>
        </w:rPr>
        <w:t xml:space="preserve"> The Declaration</w:t>
      </w:r>
      <w:r>
        <w:rPr>
          <w:rFonts w:ascii="Times New Roman" w:hAnsi="Times New Roman" w:cs="Times New Roman"/>
          <w:sz w:val="28"/>
          <w:szCs w:val="28"/>
        </w:rPr>
        <w:t xml:space="preserve"> ushered in a change to how victims were regarded. Furthermore, a paradigm shift led to the gradual reinstatement of people harmed by crime as an interested party in the dispensation of criminal justice continues to be reflected in Criminal Justice Sector Reform initiatives worldwide. With time, these changes have given rise to an increase in opportunities created specifically for victims to actively participate in various stages of the criminal justice process as proposed in the</w:t>
      </w:r>
      <w:r>
        <w:rPr>
          <w:rFonts w:ascii="Times New Roman" w:hAnsi="Times New Roman" w:cs="Times New Roman"/>
          <w:i/>
          <w:iCs/>
          <w:sz w:val="28"/>
          <w:szCs w:val="28"/>
        </w:rPr>
        <w:t xml:space="preserve"> Principle of Access to Justice and Fair Treatment</w:t>
      </w:r>
      <w:r>
        <w:rPr>
          <w:rFonts w:ascii="Times New Roman" w:hAnsi="Times New Roman" w:cs="Times New Roman"/>
          <w:sz w:val="28"/>
          <w:szCs w:val="28"/>
        </w:rPr>
        <w:t xml:space="preserve"> of The Declaration. This principle includes fifteen rights relevant to this paper, including the rights to: access to justice to be informed of their rights; to be treated with compassion and respect for their dignity; to be informed of court proceedings and of their role in it; to be heard and considered during proceedings wherever appropriate (plea, parole, sentencing); to proper assistance with legal process; to engage private advocate; to minimal inconvenience, right to privacy; to speedy justice; to security and reasonable protection from the accused; to prompt redress and to conciliation/mediation/arbitration wherever required. </w:t>
      </w:r>
    </w:p>
    <w:p w14:paraId="7BFE77E0">
      <w:pPr>
        <w:pStyle w:val="34"/>
        <w:numPr>
          <w:ilvl w:val="0"/>
          <w:numId w:val="1"/>
        </w:numPr>
        <w:shd w:val="clear" w:color="auto" w:fill="FFFFFF" w:themeFill="background1"/>
        <w:spacing w:line="360" w:lineRule="auto"/>
        <w:ind w:left="709"/>
        <w:jc w:val="both"/>
        <w:rPr>
          <w:rFonts w:ascii="Times New Roman" w:hAnsi="Times New Roman" w:cs="Times New Roman"/>
          <w:b/>
          <w:bCs/>
          <w:sz w:val="28"/>
          <w:szCs w:val="28"/>
        </w:rPr>
      </w:pPr>
      <w:r>
        <w:rPr>
          <w:rFonts w:ascii="Times New Roman" w:hAnsi="Times New Roman" w:cs="Times New Roman"/>
          <w:b/>
          <w:bCs/>
          <w:sz w:val="28"/>
          <w:szCs w:val="28"/>
        </w:rPr>
        <w:t>VICTIM-FRIENDLY COURT ENVIRONMENT</w:t>
      </w:r>
    </w:p>
    <w:p w14:paraId="60996B26">
      <w:pPr>
        <w:shd w:val="clear" w:color="auto" w:fill="FFFFFF" w:themeFill="background1"/>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While not all victimisation leads to criminal justice proceedings, crime victims are integral to the criminal justice process as one of the stakeholders. Victim justice must be one of the outcomes realised for victims/witnesses to benefit from due process. When an incident deemed to be an offence is reported to the police, this triggers a response from criminal justice agencies starting with the police. Law enforcement agencies are expected to conduct a brief victim impact assessment i.e. what they perceive of as how the incident has affected the victim. From the victim-related information gathered, an initial victim needs evaluation needs to be carried out ahead of the trial as an integral part of planning witness support. It is imperative that such an evaluation enable identifying the condition of the victim-witness including their state of mind, and emotional stability and general competence to give evidence. </w:t>
      </w:r>
    </w:p>
    <w:p w14:paraId="62976E89">
      <w:pPr>
        <w:spacing w:after="0" w:line="360" w:lineRule="auto"/>
        <w:jc w:val="both"/>
        <w:rPr>
          <w:rFonts w:ascii="Times New Roman" w:hAnsi="Times New Roman" w:eastAsia="Times New Roman" w:cs="Times New Roman"/>
          <w:sz w:val="28"/>
          <w:szCs w:val="28"/>
        </w:rPr>
      </w:pPr>
      <w:r>
        <w:rPr>
          <w:rFonts w:ascii="Times New Roman" w:hAnsi="Times New Roman" w:cs="Times New Roman"/>
          <w:sz w:val="28"/>
          <w:szCs w:val="28"/>
        </w:rPr>
        <w:t xml:space="preserve">For victim justice to become a reality, an understanding the needs of people harmed by crime is a crucial first step preceding any endeavour to incorporate their requirements in creating a victim-friendly court environment. This trend has led to developing of procedures, guidelines and tools that meet the needs of victims involved with police, courts and </w:t>
      </w:r>
      <w:r>
        <w:rPr>
          <w:rFonts w:ascii="Times New Roman" w:hAnsi="Times New Roman" w:cs="Times New Roman"/>
          <w:color w:val="000000" w:themeColor="text1"/>
          <w:sz w:val="28"/>
          <w:szCs w:val="28"/>
          <w14:textFill>
            <w14:solidFill>
              <w14:schemeClr w14:val="tx1"/>
            </w14:solidFill>
          </w14:textFill>
        </w:rPr>
        <w:t xml:space="preserve">corrections. </w:t>
      </w:r>
      <w:r>
        <w:rPr>
          <w:rFonts w:ascii="Times New Roman" w:hAnsi="Times New Roman" w:eastAsia="Times New Roman" w:cs="Times New Roman"/>
          <w:sz w:val="28"/>
          <w:szCs w:val="28"/>
        </w:rPr>
        <w:t xml:space="preserve">In providing guidance on how victim-centred justice could be approached in different contexts, </w:t>
      </w:r>
      <w:r>
        <w:rPr>
          <w:rFonts w:ascii="Times New Roman" w:hAnsi="Times New Roman" w:eastAsia="Times New Roman" w:cs="Times New Roman"/>
          <w:i/>
          <w:iCs/>
          <w:sz w:val="28"/>
          <w:szCs w:val="28"/>
        </w:rPr>
        <w:t>United Nations Declaration of Basic Principles of Justice for Victims of Crime and Abuse of Power</w:t>
      </w:r>
      <w:r>
        <w:rPr>
          <w:rFonts w:ascii="Times New Roman" w:hAnsi="Times New Roman" w:eastAsia="Times New Roman" w:cs="Times New Roman"/>
          <w:sz w:val="28"/>
          <w:szCs w:val="28"/>
        </w:rPr>
        <w:t xml:space="preserve"> (1985), suggests the following practical considerations for criminal justice agencies that could also safeguard against Secondary Victimisation of witnesses who are victims of crime.</w:t>
      </w:r>
    </w:p>
    <w:p w14:paraId="1E451B9A">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w:t>
      </w:r>
    </w:p>
    <w:p w14:paraId="31C5CD58">
      <w:pPr>
        <w:spacing w:after="0" w:line="276"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Police</w:t>
      </w:r>
    </w:p>
    <w:p w14:paraId="0C63825D">
      <w:pPr>
        <w:pStyle w:val="34"/>
        <w:numPr>
          <w:ilvl w:val="0"/>
          <w:numId w:val="2"/>
        </w:numPr>
        <w:spacing w:after="0" w:line="276"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Continuous professional education training of frontline staff (early identification of victims and differentiate from suspects</w:t>
      </w:r>
    </w:p>
    <w:p w14:paraId="608CD1A5">
      <w:pPr>
        <w:pStyle w:val="34"/>
        <w:numPr>
          <w:ilvl w:val="0"/>
          <w:numId w:val="2"/>
        </w:numPr>
        <w:spacing w:after="0" w:line="276"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Reporting: trauma-informed interviewing (avoid Secondary victimisation by retraumatizing victims; Victim-sensitive interventions</w:t>
      </w:r>
    </w:p>
    <w:p w14:paraId="1553990F">
      <w:pPr>
        <w:pStyle w:val="34"/>
        <w:spacing w:after="0" w:line="360" w:lineRule="auto"/>
        <w:ind w:left="426"/>
        <w:jc w:val="both"/>
        <w:rPr>
          <w:rFonts w:ascii="Times New Roman" w:hAnsi="Times New Roman" w:eastAsia="Times New Roman" w:cs="Times New Roman"/>
          <w:sz w:val="28"/>
          <w:szCs w:val="28"/>
        </w:rPr>
      </w:pPr>
    </w:p>
    <w:p w14:paraId="4323A06D">
      <w:pPr>
        <w:shd w:val="clear" w:color="auto" w:fill="FFFFFF" w:themeFill="background1"/>
        <w:spacing w:after="0" w:line="276"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Judiciary</w:t>
      </w:r>
    </w:p>
    <w:p w14:paraId="48CE567B">
      <w:pPr>
        <w:pStyle w:val="34"/>
        <w:numPr>
          <w:ilvl w:val="0"/>
          <w:numId w:val="3"/>
        </w:numPr>
        <w:shd w:val="clear" w:color="auto" w:fill="FFFFFF" w:themeFill="background1"/>
        <w:tabs>
          <w:tab w:val="clear" w:pos="720"/>
        </w:tabs>
        <w:spacing w:after="0" w:line="276"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Prepare legal instruments </w:t>
      </w:r>
    </w:p>
    <w:p w14:paraId="2ED88134">
      <w:pPr>
        <w:pStyle w:val="34"/>
        <w:numPr>
          <w:ilvl w:val="0"/>
          <w:numId w:val="3"/>
        </w:numPr>
        <w:shd w:val="clear" w:color="auto" w:fill="FFFFFF" w:themeFill="background1"/>
        <w:tabs>
          <w:tab w:val="clear" w:pos="720"/>
        </w:tabs>
        <w:spacing w:after="0" w:line="276"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Judicial staff Continuous Professional Education</w:t>
      </w:r>
    </w:p>
    <w:p w14:paraId="42E17D89">
      <w:pPr>
        <w:pStyle w:val="34"/>
        <w:numPr>
          <w:ilvl w:val="0"/>
          <w:numId w:val="3"/>
        </w:numPr>
        <w:shd w:val="clear" w:color="auto" w:fill="FFFFFF" w:themeFill="background1"/>
        <w:tabs>
          <w:tab w:val="clear" w:pos="720"/>
        </w:tabs>
        <w:spacing w:after="0" w:line="276"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Guidelines for Victim and Witness Support e.g. inter-agency information management protocols. etc </w:t>
      </w:r>
    </w:p>
    <w:p w14:paraId="5F99BBD9">
      <w:pPr>
        <w:pStyle w:val="34"/>
        <w:numPr>
          <w:ilvl w:val="0"/>
          <w:numId w:val="3"/>
        </w:numPr>
        <w:shd w:val="clear" w:color="auto" w:fill="FFFFFF" w:themeFill="background1"/>
        <w:tabs>
          <w:tab w:val="clear" w:pos="720"/>
        </w:tabs>
        <w:spacing w:after="0" w:line="276"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Budget: victim-witness court facilities, logistical support, training and developing reference manuals for staff</w:t>
      </w:r>
    </w:p>
    <w:p w14:paraId="0EF2466E">
      <w:pPr>
        <w:shd w:val="clear" w:color="auto" w:fill="FFFFFF" w:themeFill="background1"/>
        <w:spacing w:after="0" w:line="276" w:lineRule="auto"/>
        <w:jc w:val="both"/>
        <w:rPr>
          <w:rFonts w:ascii="Times New Roman" w:hAnsi="Times New Roman" w:eastAsia="Times New Roman" w:cs="Times New Roman"/>
          <w:b/>
          <w:bCs/>
          <w:sz w:val="28"/>
          <w:szCs w:val="28"/>
        </w:rPr>
      </w:pPr>
    </w:p>
    <w:p w14:paraId="4A5E50E6">
      <w:pPr>
        <w:shd w:val="clear" w:color="auto" w:fill="FFFFFF" w:themeFill="background1"/>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Courts</w:t>
      </w:r>
    </w:p>
    <w:p w14:paraId="1F5258B4">
      <w:pPr>
        <w:pStyle w:val="34"/>
        <w:numPr>
          <w:ilvl w:val="0"/>
          <w:numId w:val="4"/>
        </w:numPr>
        <w:shd w:val="clear" w:color="auto" w:fill="FFFFFF" w:themeFill="background1"/>
        <w:tabs>
          <w:tab w:val="clear" w:pos="720"/>
        </w:tabs>
        <w:spacing w:after="0" w:line="276"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Victim-centred procedures and guidelines</w:t>
      </w:r>
    </w:p>
    <w:p w14:paraId="3521C05E">
      <w:pPr>
        <w:pStyle w:val="34"/>
        <w:numPr>
          <w:ilvl w:val="0"/>
          <w:numId w:val="4"/>
        </w:numPr>
        <w:shd w:val="clear" w:color="auto" w:fill="FFFFFF" w:themeFill="background1"/>
        <w:tabs>
          <w:tab w:val="clear" w:pos="720"/>
        </w:tabs>
        <w:spacing w:after="0" w:line="276"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Court administration staff Continuous Professional Education</w:t>
      </w:r>
    </w:p>
    <w:p w14:paraId="6ADD9ADB">
      <w:pPr>
        <w:pStyle w:val="34"/>
        <w:numPr>
          <w:ilvl w:val="0"/>
          <w:numId w:val="4"/>
        </w:numPr>
        <w:shd w:val="clear" w:color="auto" w:fill="FFFFFF" w:themeFill="background1"/>
        <w:tabs>
          <w:tab w:val="clear" w:pos="720"/>
        </w:tabs>
        <w:spacing w:after="0" w:line="276"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Introduce victim-centred justice procedures e.g. Alternative Pathways to Justice (mediation, restorative justice meetings, etc)</w:t>
      </w:r>
    </w:p>
    <w:p w14:paraId="528AB30D">
      <w:pPr>
        <w:numPr>
          <w:ilvl w:val="0"/>
          <w:numId w:val="4"/>
        </w:numPr>
        <w:shd w:val="clear" w:color="auto" w:fill="FFFFFF" w:themeFill="background1"/>
        <w:spacing w:after="0" w:line="276" w:lineRule="auto"/>
        <w:ind w:left="426"/>
        <w:rPr>
          <w:rFonts w:ascii="Times New Roman" w:hAnsi="Times New Roman" w:eastAsia="Times New Roman" w:cs="Times New Roman"/>
          <w:sz w:val="28"/>
          <w:szCs w:val="28"/>
        </w:rPr>
      </w:pPr>
      <w:r>
        <w:rPr>
          <w:rFonts w:ascii="Times New Roman" w:hAnsi="Times New Roman" w:eastAsia="Times New Roman" w:cs="Times New Roman"/>
          <w:sz w:val="28"/>
          <w:szCs w:val="28"/>
        </w:rPr>
        <w:t>Gradual introduction of Victim Impact Statements in courts</w:t>
      </w:r>
    </w:p>
    <w:p w14:paraId="2E03DE5A">
      <w:pPr>
        <w:numPr>
          <w:ilvl w:val="0"/>
          <w:numId w:val="4"/>
        </w:numPr>
        <w:shd w:val="clear" w:color="auto" w:fill="FFFFFF" w:themeFill="background1"/>
        <w:tabs>
          <w:tab w:val="clear" w:pos="720"/>
        </w:tabs>
        <w:spacing w:after="0" w:line="276" w:lineRule="auto"/>
        <w:ind w:left="426"/>
        <w:rPr>
          <w:rFonts w:ascii="Times New Roman" w:hAnsi="Times New Roman" w:eastAsia="Times New Roman" w:cs="Times New Roman"/>
          <w:sz w:val="28"/>
          <w:szCs w:val="28"/>
        </w:rPr>
      </w:pPr>
      <w:r>
        <w:rPr>
          <w:rFonts w:ascii="Times New Roman" w:hAnsi="Times New Roman" w:eastAsia="Times New Roman" w:cs="Times New Roman"/>
          <w:sz w:val="28"/>
          <w:szCs w:val="28"/>
        </w:rPr>
        <w:t>Special Measures for Vulnerable and Intimidated Witnesses</w:t>
      </w:r>
    </w:p>
    <w:p w14:paraId="6575FA5C">
      <w:pPr>
        <w:numPr>
          <w:ilvl w:val="0"/>
          <w:numId w:val="4"/>
        </w:numPr>
        <w:shd w:val="clear" w:color="auto" w:fill="FFFFFF" w:themeFill="background1"/>
        <w:tabs>
          <w:tab w:val="clear" w:pos="720"/>
        </w:tabs>
        <w:spacing w:after="0" w:line="276"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Witness Protection </w:t>
      </w:r>
    </w:p>
    <w:p w14:paraId="7A128930">
      <w:pPr>
        <w:numPr>
          <w:ilvl w:val="0"/>
          <w:numId w:val="4"/>
        </w:numPr>
        <w:shd w:val="clear" w:color="auto" w:fill="FFFFFF" w:themeFill="background1"/>
        <w:tabs>
          <w:tab w:val="clear" w:pos="720"/>
        </w:tabs>
        <w:spacing w:after="0" w:line="276"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Criminal Injury Compensation</w:t>
      </w:r>
    </w:p>
    <w:p w14:paraId="3425FA9D">
      <w:pPr>
        <w:shd w:val="clear" w:color="auto" w:fill="FFFFFF" w:themeFill="background1"/>
        <w:spacing w:after="0" w:line="276" w:lineRule="auto"/>
        <w:ind w:left="426"/>
        <w:jc w:val="both"/>
        <w:rPr>
          <w:rFonts w:ascii="Times New Roman" w:hAnsi="Times New Roman" w:eastAsia="Times New Roman" w:cs="Times New Roman"/>
          <w:sz w:val="28"/>
          <w:szCs w:val="28"/>
        </w:rPr>
      </w:pPr>
    </w:p>
    <w:p w14:paraId="300C1C66">
      <w:pPr>
        <w:shd w:val="clear" w:color="auto" w:fill="FFFFFF" w:themeFill="background1"/>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Correctional Institutions</w:t>
      </w:r>
    </w:p>
    <w:p w14:paraId="5BAA33D8">
      <w:pPr>
        <w:numPr>
          <w:ilvl w:val="0"/>
          <w:numId w:val="5"/>
        </w:numPr>
        <w:shd w:val="clear" w:color="auto" w:fill="FFFFFF" w:themeFill="background1"/>
        <w:tabs>
          <w:tab w:val="clear" w:pos="720"/>
        </w:tabs>
        <w:spacing w:after="0" w:line="360"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Pre-release Restorative Justice meetings</w:t>
      </w:r>
    </w:p>
    <w:p w14:paraId="2B93C78D">
      <w:pPr>
        <w:numPr>
          <w:ilvl w:val="0"/>
          <w:numId w:val="5"/>
        </w:numPr>
        <w:shd w:val="clear" w:color="auto" w:fill="FFFFFF" w:themeFill="background1"/>
        <w:tabs>
          <w:tab w:val="clear" w:pos="720"/>
        </w:tabs>
        <w:spacing w:after="0" w:line="360"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Targeted rehabilitation e.g. in borstal institutions of juvenile offenders rescued from terrorist and bandit groups and also repeat offenders to reduce recidivism </w:t>
      </w:r>
    </w:p>
    <w:p w14:paraId="5F5B3D25">
      <w:pPr>
        <w:numPr>
          <w:ilvl w:val="0"/>
          <w:numId w:val="5"/>
        </w:numPr>
        <w:shd w:val="clear" w:color="auto" w:fill="FFFFFF" w:themeFill="background1"/>
        <w:tabs>
          <w:tab w:val="clear" w:pos="720"/>
        </w:tabs>
        <w:spacing w:after="0" w:line="360"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Restorative Justice meetings</w:t>
      </w:r>
    </w:p>
    <w:p w14:paraId="57298188">
      <w:pPr>
        <w:spacing w:after="0" w:line="360" w:lineRule="auto"/>
        <w:jc w:val="both"/>
        <w:rPr>
          <w:rFonts w:ascii="Times New Roman" w:hAnsi="Times New Roman" w:cs="Times New Roman"/>
          <w:sz w:val="28"/>
          <w:szCs w:val="28"/>
        </w:rPr>
      </w:pPr>
    </w:p>
    <w:p w14:paraId="48418317">
      <w:pPr>
        <w:spacing w:after="0" w:line="360" w:lineRule="auto"/>
        <w:ind w:hanging="22"/>
        <w:jc w:val="both"/>
        <w:rPr>
          <w:rFonts w:ascii="Times New Roman" w:hAnsi="Times New Roman" w:cs="Times New Roman"/>
          <w:sz w:val="28"/>
          <w:szCs w:val="28"/>
        </w:rPr>
      </w:pPr>
      <w:r>
        <w:rPr>
          <w:rFonts w:ascii="Times New Roman" w:hAnsi="Times New Roman" w:cs="Times New Roman"/>
          <w:sz w:val="28"/>
          <w:szCs w:val="28"/>
        </w:rPr>
        <w:t xml:space="preserve">Crime affects people differently and the needs of victims vary from one person to another </w:t>
      </w:r>
      <w:r>
        <w:rPr>
          <w:rFonts w:ascii="Times New Roman" w:hAnsi="Times New Roman" w:cs="Times New Roman"/>
          <w:color w:val="000000" w:themeColor="text1"/>
          <w:sz w:val="28"/>
          <w:szCs w:val="28"/>
          <w14:textFill>
            <w14:solidFill>
              <w14:schemeClr w14:val="tx1"/>
            </w14:solidFill>
          </w14:textFill>
        </w:rPr>
        <w:t>depending on individual differences including</w:t>
      </w:r>
      <w:r>
        <w:rPr>
          <w:rFonts w:ascii="Times New Roman" w:hAnsi="Times New Roman" w:cs="Times New Roman"/>
          <w:sz w:val="28"/>
          <w:szCs w:val="28"/>
        </w:rPr>
        <w:t xml:space="preserve"> age, gender, ability, resources available, existing physiological conditions such as pregnancy and whether one has a disability or not. Children, the elderly, people living with disabilities and pregnant/nursing mothers are regarded as being vulnerable individuals. </w:t>
      </w:r>
    </w:p>
    <w:p w14:paraId="3434C6E5">
      <w:pPr>
        <w:spacing w:after="0" w:line="360" w:lineRule="auto"/>
        <w:ind w:hanging="22"/>
        <w:jc w:val="both"/>
        <w:rPr>
          <w:rFonts w:ascii="Times New Roman" w:hAnsi="Times New Roman" w:cs="Times New Roman"/>
          <w:sz w:val="28"/>
          <w:szCs w:val="28"/>
        </w:rPr>
      </w:pPr>
    </w:p>
    <w:p w14:paraId="30A6F25C">
      <w:pPr>
        <w:pStyle w:val="34"/>
        <w:numPr>
          <w:ilvl w:val="0"/>
          <w:numId w:val="1"/>
        </w:numPr>
        <w:spacing w:after="0" w:line="360" w:lineRule="auto"/>
        <w:ind w:left="709"/>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PROBLEMATIZING TRAUMA AND UNPROCESSED MEMORIES</w:t>
      </w:r>
    </w:p>
    <w:p w14:paraId="50396254">
      <w:pPr>
        <w:spacing w:after="0" w:line="360" w:lineRule="auto"/>
        <w:ind w:hanging="22"/>
        <w:jc w:val="both"/>
        <w:rPr>
          <w:rFonts w:ascii="Times New Roman" w:hAnsi="Times New Roman" w:cs="Times New Roman"/>
          <w:sz w:val="28"/>
          <w:szCs w:val="28"/>
        </w:rPr>
      </w:pPr>
      <w:r>
        <w:rPr>
          <w:rFonts w:ascii="Times New Roman" w:hAnsi="Times New Roman" w:cs="Times New Roman"/>
          <w:sz w:val="28"/>
          <w:szCs w:val="28"/>
        </w:rPr>
        <w:t>One of the effects of crime on victims that may not be easily identified when victim reports the crime, but which could affect their ability to participate in court proceedings is ‘traumatic brain’. This is a condition of the brain that occurs when a traumatic experience affects the chemistry, functioning and structure of the brain of a crime victim, and together these can affect information storage in human memory, the ability to recall specific information stored in the brain related to the traumatic incident while participating in a trial as a witness and the narration sequence of the victimisation event. The individual’s brain may be affected even if they continue to function in their social role as a family member or employee. However, trauma is problematic because of two main reasons: its delayed diagnosis and the possibility of episodes occurring in court due to the victim’s exposure to factors that trigger unprocessed memories of the traumatic event. The triggers and episodes could seriously affect the participation in court proceedings of a witness who has experienced victimisation during a traumatic incident. Witness participation relies on information stored in the memory of the event.</w:t>
      </w:r>
    </w:p>
    <w:p w14:paraId="200B1B5C">
      <w:pPr>
        <w:spacing w:after="0" w:line="360" w:lineRule="auto"/>
        <w:ind w:hanging="22"/>
        <w:jc w:val="both"/>
        <w:rPr>
          <w:rFonts w:ascii="Times New Roman" w:hAnsi="Times New Roman" w:cs="Times New Roman"/>
          <w:sz w:val="28"/>
          <w:szCs w:val="28"/>
        </w:rPr>
      </w:pPr>
    </w:p>
    <w:p w14:paraId="58B5D3B5">
      <w:pPr>
        <w:shd w:val="clear" w:color="auto" w:fill="FFFFFF" w:themeFill="background1"/>
        <w:spacing w:line="360" w:lineRule="auto"/>
        <w:jc w:val="both"/>
        <w:rPr>
          <w:rFonts w:ascii="Times New Roman" w:hAnsi="Times New Roman" w:eastAsia="Times New Roman" w:cs="Times New Roman"/>
          <w:sz w:val="28"/>
          <w:szCs w:val="28"/>
        </w:rPr>
      </w:pPr>
      <w:r>
        <w:rPr>
          <w:rFonts w:ascii="Times New Roman" w:hAnsi="Times New Roman" w:cs="Times New Roman"/>
          <w:color w:val="000000" w:themeColor="text1"/>
          <w:sz w:val="28"/>
          <w:szCs w:val="28"/>
          <w14:textFill>
            <w14:solidFill>
              <w14:schemeClr w14:val="tx1"/>
            </w14:solidFill>
          </w14:textFill>
        </w:rPr>
        <w:t xml:space="preserve">Practically, the inclusion of victim impact assessments, victim needs evaluation and the preparation of victim/witness support plans have been found to be useful deliberate efforts towards planning victim-centred witness support. </w:t>
      </w:r>
      <w:r>
        <w:rPr>
          <w:rFonts w:ascii="Times New Roman" w:hAnsi="Times New Roman" w:eastAsia="Times New Roman" w:cs="Times New Roman"/>
          <w:sz w:val="28"/>
          <w:szCs w:val="28"/>
        </w:rPr>
        <w:t>Victimization experiences can affect the memory, sensory perception, behaviour and participation in court proceedings of witnesses who have had a personal victimization experience. This is because the individual(s) sensory perception during the criminal incident, to a large extent affects how information regarding the crime and perpetrator is encoded in the brain. If one does not receive psychotherapy to process traumatic memories through guided recall, processing and correctly file away memories of a traumatic incident, such memories remain unprocessed. Such unprocessed memories make the victim-witness vulnerable to trigger factors that could lead to an episode whereby the individual manifests behaviour unrelated to their current circumstances. For instance, when a traumatized victim is asked by police to make a statement, or give evidence during a trial, recollection of specific details related to the incident can conjure the same negative emotions and thoughts experienced during the incident. When these episodes occur during court proceedings. It can affect the quality and quantity of witness evidence.</w:t>
      </w:r>
    </w:p>
    <w:p w14:paraId="324917C4">
      <w:pPr>
        <w:spacing w:after="0" w:line="360" w:lineRule="auto"/>
        <w:ind w:hanging="22"/>
        <w:jc w:val="both"/>
        <w:rPr>
          <w:rFonts w:ascii="Times New Roman" w:hAnsi="Times New Roman" w:cs="Times New Roman"/>
          <w:sz w:val="28"/>
          <w:szCs w:val="28"/>
        </w:rPr>
      </w:pPr>
    </w:p>
    <w:p w14:paraId="033E17ED">
      <w:pPr>
        <w:spacing w:after="0" w:line="360" w:lineRule="auto"/>
        <w:ind w:left="-22"/>
        <w:jc w:val="both"/>
        <w:rPr>
          <w:rFonts w:ascii="Times New Roman" w:hAnsi="Times New Roman" w:cs="Times New Roman"/>
          <w:sz w:val="28"/>
          <w:szCs w:val="28"/>
        </w:rPr>
      </w:pPr>
      <w:r>
        <w:rPr>
          <w:rFonts w:ascii="Times New Roman" w:hAnsi="Times New Roman" w:cs="Times New Roman"/>
          <w:sz w:val="28"/>
          <w:szCs w:val="28"/>
        </w:rPr>
        <w:t>Researchers have established that traumatic brain can impede memory by making it difficult for witnesses to recollect details clearly and accurately, supportive interventions can help reduce stress and improve witness memory function while they participate in court proceedings. Good Practice from functional witness support systems worldwide, shows that psycho-socio support in court and outside court for the duration of trial period improves the confidence and memory recall of witnesses and reduce the negative impact of trauma on memory of witnesses with lived victimisation experiences (Küçükarslan et al, 2024). Efficiency of criminal justice agencies in delivering victim justice requires knowledge of the impact of crime on victims, the needs of victims and the incorporation of this understanding into creating a supportive court environment for traumatized witnesses and defendants to actively participate in trials with dignity. Therefore, it is important for Judges to understand how trauma can affect witness memory and participation in court proceedings.</w:t>
      </w:r>
    </w:p>
    <w:p w14:paraId="7D1D44AE">
      <w:pPr>
        <w:spacing w:after="0" w:line="360" w:lineRule="auto"/>
        <w:ind w:left="-22"/>
        <w:jc w:val="both"/>
        <w:rPr>
          <w:rFonts w:ascii="Times New Roman" w:hAnsi="Times New Roman" w:cs="Times New Roman"/>
          <w:sz w:val="28"/>
          <w:szCs w:val="28"/>
        </w:rPr>
      </w:pPr>
    </w:p>
    <w:p w14:paraId="5F46F3AC">
      <w:pPr>
        <w:pStyle w:val="34"/>
        <w:numPr>
          <w:ilvl w:val="0"/>
          <w:numId w:val="1"/>
        </w:numPr>
        <w:spacing w:after="0" w:line="360" w:lineRule="auto"/>
        <w:ind w:left="709"/>
        <w:jc w:val="both"/>
        <w:rPr>
          <w:rFonts w:ascii="Times New Roman" w:hAnsi="Times New Roman" w:cs="Times New Roman"/>
          <w:b/>
          <w:bCs/>
          <w:sz w:val="28"/>
          <w:szCs w:val="28"/>
        </w:rPr>
      </w:pPr>
      <w:r>
        <w:rPr>
          <w:rFonts w:ascii="Times New Roman" w:hAnsi="Times New Roman" w:cs="Times New Roman"/>
          <w:b/>
          <w:bCs/>
          <w:sz w:val="28"/>
          <w:szCs w:val="28"/>
        </w:rPr>
        <w:t>SCOPE OF THE PRESENTATION</w:t>
      </w:r>
    </w:p>
    <w:p w14:paraId="78C42CE6">
      <w:pPr>
        <w:tabs>
          <w:tab w:val="left" w:pos="360"/>
        </w:tabs>
        <w:spacing w:before="240" w:after="120" w:line="240"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xml:space="preserve">This session will focus on:  </w:t>
      </w:r>
    </w:p>
    <w:p w14:paraId="2C3D8EE4">
      <w:pPr>
        <w:pStyle w:val="34"/>
        <w:numPr>
          <w:ilvl w:val="0"/>
          <w:numId w:val="6"/>
        </w:numPr>
        <w:tabs>
          <w:tab w:val="left" w:pos="360"/>
        </w:tabs>
        <w:spacing w:before="240" w:after="120" w:line="360" w:lineRule="auto"/>
        <w:ind w:left="426"/>
        <w:contextualSpacing w:val="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This session will focus on victim-friendly court services and their importance in ensuring access to justice for victims of trauma.</w:t>
      </w:r>
    </w:p>
    <w:p w14:paraId="509F7919">
      <w:pPr>
        <w:pStyle w:val="34"/>
        <w:numPr>
          <w:ilvl w:val="0"/>
          <w:numId w:val="6"/>
        </w:numPr>
        <w:tabs>
          <w:tab w:val="left" w:pos="360"/>
        </w:tabs>
        <w:spacing w:before="240" w:after="240" w:line="360" w:lineRule="auto"/>
        <w:ind w:left="426"/>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Explore the impact of trauma on victim participation in court, as well as key modalities, legal provisions, and best practices for creating a supportive environment. </w:t>
      </w:r>
    </w:p>
    <w:p w14:paraId="46CC71FB">
      <w:pPr>
        <w:pStyle w:val="34"/>
        <w:tabs>
          <w:tab w:val="left" w:pos="360"/>
        </w:tabs>
        <w:spacing w:after="0" w:line="360" w:lineRule="auto"/>
        <w:ind w:left="426"/>
        <w:contextualSpacing w:val="0"/>
        <w:jc w:val="both"/>
        <w:rPr>
          <w:rFonts w:ascii="Times New Roman" w:hAnsi="Times New Roman" w:eastAsia="Times New Roman" w:cs="Times New Roman"/>
          <w:sz w:val="28"/>
          <w:szCs w:val="28"/>
        </w:rPr>
      </w:pPr>
    </w:p>
    <w:p w14:paraId="24D198D7">
      <w:pPr>
        <w:pStyle w:val="34"/>
        <w:numPr>
          <w:ilvl w:val="0"/>
          <w:numId w:val="1"/>
        </w:numPr>
        <w:tabs>
          <w:tab w:val="left" w:pos="360"/>
        </w:tabs>
        <w:spacing w:before="240" w:after="240" w:line="240" w:lineRule="auto"/>
        <w:ind w:left="567" w:hanging="567"/>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PRESENTATION TOPICS</w:t>
      </w:r>
    </w:p>
    <w:p w14:paraId="068E18D8">
      <w:pPr>
        <w:spacing w:before="120" w:after="120" w:line="360" w:lineRule="auto"/>
        <w:ind w:left="720" w:hanging="72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The paper will cover the following topics: </w:t>
      </w:r>
    </w:p>
    <w:p w14:paraId="145BD663">
      <w:pPr>
        <w:pStyle w:val="34"/>
        <w:numPr>
          <w:ilvl w:val="0"/>
          <w:numId w:val="7"/>
        </w:numPr>
        <w:spacing w:before="120" w:after="120" w:line="360" w:lineRule="auto"/>
        <w:ind w:left="426"/>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Impact of Trauma on Memory</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The brain and trauma; effects of trauma the brain structure and functions and on memory</w:t>
      </w:r>
    </w:p>
    <w:p w14:paraId="710137C0">
      <w:pPr>
        <w:pStyle w:val="34"/>
        <w:numPr>
          <w:ilvl w:val="0"/>
          <w:numId w:val="7"/>
        </w:numPr>
        <w:spacing w:before="120" w:after="120" w:line="360" w:lineRule="auto"/>
        <w:ind w:left="426"/>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How traumatic brain can influence witness behaviour and participation in court proceedings</w:t>
      </w:r>
    </w:p>
    <w:p w14:paraId="32356B08">
      <w:pPr>
        <w:pStyle w:val="34"/>
        <w:spacing w:before="120" w:after="120" w:line="360" w:lineRule="auto"/>
        <w:ind w:left="426"/>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Influence of traumatic brain on quality and delivery of witness testimony (ability to recall specific details of traumatic event)</w:t>
      </w:r>
    </w:p>
    <w:p w14:paraId="12AC0886">
      <w:pPr>
        <w:pStyle w:val="34"/>
        <w:spacing w:before="120" w:after="120" w:line="360" w:lineRule="auto"/>
        <w:ind w:left="426"/>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Examples of behaviour of traumatized witnesses participating in court proceedings (triggers, episodes, witness disintegration)</w:t>
      </w:r>
    </w:p>
    <w:p w14:paraId="223C451F">
      <w:pPr>
        <w:pStyle w:val="34"/>
        <w:numPr>
          <w:ilvl w:val="0"/>
          <w:numId w:val="7"/>
        </w:numPr>
        <w:spacing w:before="120" w:after="120" w:line="360" w:lineRule="auto"/>
        <w:ind w:left="426"/>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Key Modalities and Infrastructure Modifications</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Practical victim-friendly court modifications to support traumatized witnesses during the court process.</w:t>
      </w:r>
    </w:p>
    <w:p w14:paraId="7D346FBA">
      <w:pPr>
        <w:pStyle w:val="34"/>
        <w:numPr>
          <w:ilvl w:val="0"/>
          <w:numId w:val="7"/>
        </w:numPr>
        <w:spacing w:before="120" w:after="120" w:line="360" w:lineRule="auto"/>
        <w:ind w:left="426"/>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Legal Provisions and Balancing Victim Support with Judicial Objectivity</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Highlight legal frameworks supporting victim-friendly services, emphasizing victim rights to dignity and inclusivity, while also ensuring the balance between victim support, trauma-informed questioning, and judicial impartiality.</w:t>
      </w:r>
    </w:p>
    <w:p w14:paraId="1B4E6B91">
      <w:pPr>
        <w:spacing w:after="0" w:line="360" w:lineRule="auto"/>
        <w:ind w:left="-22"/>
        <w:jc w:val="both"/>
        <w:rPr>
          <w:rFonts w:ascii="Times New Roman" w:hAnsi="Times New Roman" w:cs="Times New Roman"/>
          <w:b/>
          <w:bCs/>
          <w:sz w:val="28"/>
          <w:szCs w:val="28"/>
        </w:rPr>
      </w:pPr>
    </w:p>
    <w:p w14:paraId="2A814835">
      <w:pPr>
        <w:pStyle w:val="34"/>
        <w:numPr>
          <w:ilvl w:val="0"/>
          <w:numId w:val="1"/>
        </w:numPr>
        <w:spacing w:after="0" w:line="360" w:lineRule="auto"/>
        <w:ind w:left="567"/>
        <w:jc w:val="both"/>
        <w:rPr>
          <w:rFonts w:ascii="Times New Roman" w:hAnsi="Times New Roman" w:cs="Times New Roman"/>
          <w:b/>
          <w:bCs/>
          <w:sz w:val="28"/>
          <w:szCs w:val="28"/>
        </w:rPr>
      </w:pPr>
      <w:r>
        <w:rPr>
          <w:rFonts w:ascii="Times New Roman" w:hAnsi="Times New Roman" w:cs="Times New Roman"/>
          <w:b/>
          <w:bCs/>
          <w:sz w:val="28"/>
          <w:szCs w:val="28"/>
        </w:rPr>
        <w:t>SESSION INTENDED OUTCOMES</w:t>
      </w:r>
    </w:p>
    <w:p w14:paraId="3CBBEB60">
      <w:pPr>
        <w:spacing w:line="360" w:lineRule="auto"/>
        <w:jc w:val="both"/>
        <w:rPr>
          <w:rFonts w:ascii="Times New Roman" w:hAnsi="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This paper will be presented at the start of an interactive session during which the Judges will engage in group discussions on case studies for their full participation intended to enhance their competencies in the following ways: -</w:t>
      </w:r>
    </w:p>
    <w:p w14:paraId="4A56B3D8">
      <w:pPr>
        <w:pStyle w:val="34"/>
        <w:numPr>
          <w:ilvl w:val="0"/>
          <w:numId w:val="8"/>
        </w:numPr>
        <w:spacing w:after="120" w:line="360" w:lineRule="auto"/>
        <w:ind w:left="284"/>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Know the meaning of the term trauma</w:t>
      </w:r>
      <w:r>
        <w:rPr>
          <w:rFonts w:ascii="Times New Roman" w:hAnsi="Times New Roman" w:eastAsia="Times New Roman" w:cs="Times New Roman"/>
          <w:sz w:val="28"/>
          <w:szCs w:val="28"/>
        </w:rPr>
        <w:t xml:space="preserve"> and the link between psychological trauma and witness memory</w:t>
      </w:r>
    </w:p>
    <w:p w14:paraId="10419EB7">
      <w:pPr>
        <w:pStyle w:val="34"/>
        <w:numPr>
          <w:ilvl w:val="0"/>
          <w:numId w:val="9"/>
        </w:numPr>
        <w:spacing w:line="360" w:lineRule="auto"/>
        <w:ind w:left="284"/>
        <w:jc w:val="both"/>
        <w:rPr>
          <w:rFonts w:ascii="Times New Roman" w:hAnsi="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Understand how criminal traumatization could affect victims’ participation in court proceedings as witnesses</w:t>
      </w:r>
    </w:p>
    <w:p w14:paraId="407287FB">
      <w:pPr>
        <w:pStyle w:val="34"/>
        <w:numPr>
          <w:ilvl w:val="0"/>
          <w:numId w:val="9"/>
        </w:numPr>
        <w:spacing w:line="360" w:lineRule="auto"/>
        <w:ind w:left="284"/>
        <w:jc w:val="both"/>
        <w:rPr>
          <w:rFonts w:ascii="Times New Roman" w:hAnsi="Times New Roman" w:eastAsia="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 xml:space="preserve">Recognise when a witness full participation in court is impeded by traumatic memories </w:t>
      </w:r>
    </w:p>
    <w:p w14:paraId="70F977DB">
      <w:pPr>
        <w:pStyle w:val="34"/>
        <w:numPr>
          <w:ilvl w:val="0"/>
          <w:numId w:val="9"/>
        </w:numPr>
        <w:spacing w:line="360" w:lineRule="auto"/>
        <w:ind w:left="284"/>
        <w:jc w:val="both"/>
        <w:rPr>
          <w:rFonts w:ascii="Times New Roman" w:hAnsi="Times New Roman" w:eastAsia="Times New Roman" w:cs="Times New Roman"/>
          <w:color w:val="000000"/>
          <w:kern w:val="0"/>
          <w:sz w:val="28"/>
          <w:szCs w:val="28"/>
          <w14:ligatures w14:val="none"/>
        </w:rPr>
      </w:pPr>
      <w:r>
        <w:rPr>
          <w:rFonts w:ascii="Times New Roman" w:hAnsi="Times New Roman" w:eastAsia="Times New Roman" w:cs="Times New Roman"/>
          <w:color w:val="000000"/>
          <w:kern w:val="0"/>
          <w:sz w:val="28"/>
          <w:szCs w:val="28"/>
          <w14:ligatures w14:val="none"/>
        </w:rPr>
        <w:t>Outline practical steps for creating victim-friendly court services that reflect fairness, respect, and inclusivity. </w:t>
      </w:r>
    </w:p>
    <w:p w14:paraId="466E31C8">
      <w:pPr>
        <w:spacing w:after="0" w:line="276" w:lineRule="auto"/>
        <w:ind w:left="567"/>
        <w:jc w:val="both"/>
        <w:rPr>
          <w:rFonts w:ascii="Times New Roman" w:hAnsi="Times New Roman" w:eastAsia="Times New Roman" w:cs="Times New Roman"/>
          <w:bCs/>
          <w:sz w:val="28"/>
          <w:szCs w:val="28"/>
        </w:rPr>
      </w:pPr>
    </w:p>
    <w:p w14:paraId="15A12E51">
      <w:pPr>
        <w:pStyle w:val="34"/>
        <w:numPr>
          <w:ilvl w:val="0"/>
          <w:numId w:val="1"/>
        </w:numPr>
        <w:spacing w:after="0" w:line="360" w:lineRule="auto"/>
        <w:ind w:left="709"/>
        <w:jc w:val="both"/>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KEY MODALITIES AND COURT INFRASTRUCTURAL MODIFICATIONS</w:t>
      </w:r>
      <w:r>
        <w:rPr>
          <w:rFonts w:ascii="Times New Roman" w:hAnsi="Times New Roman" w:eastAsia="Times New Roman" w:cs="Times New Roman"/>
          <w:sz w:val="28"/>
          <w:szCs w:val="28"/>
        </w:rPr>
        <w:t xml:space="preserve"> </w:t>
      </w:r>
    </w:p>
    <w:p w14:paraId="5ABFB37A">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Delivering justice victims requires a muti-agency approach involving different agencies involved in the criminal justice system. Such a collaborative approach has been found to work best when officials from police, court, prisons, NGOs, CBOs, counsellors and social workers collaborate to support victims and witnesses in formal and informal settings. Practical written and clearly-understood procedures documented in written guidelines enhance the skills and ability of different officials to carry out their designated responsibilities in enabling victims to access justice. Such assistance to victims is crucial at all stages of the criminal justice process starting way before the trial, continuing during the trial and after the trial. It is imperative that victim-witness support requirements be included in the overall infrastructure for criminal justice service delivery. This would ensure that resources needed to assist the victim to overcome any impediments to their full participation in every stage of court proceedings is available when needed. In addition, activities intended to empowering victim-witnesses in the post-trial period should be tailored to aid them to debrief after their courtroom experience while protecting them against retaliatory victimisation by the defendant’s associates. </w:t>
      </w:r>
    </w:p>
    <w:p w14:paraId="625C9425">
      <w:pPr>
        <w:spacing w:after="0" w:line="360" w:lineRule="auto"/>
        <w:jc w:val="both"/>
        <w:rPr>
          <w:rFonts w:ascii="Times New Roman" w:hAnsi="Times New Roman" w:eastAsia="Times New Roman" w:cs="Times New Roman"/>
          <w:b/>
          <w:bCs/>
          <w:sz w:val="28"/>
          <w:szCs w:val="28"/>
        </w:rPr>
      </w:pPr>
    </w:p>
    <w:p w14:paraId="07553141">
      <w:pPr>
        <w:spacing w:after="0" w:line="360" w:lineRule="auto"/>
        <w:jc w:val="both"/>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SUPPORT BEFORE TRIAL DATE</w:t>
      </w:r>
    </w:p>
    <w:p w14:paraId="6A4F4D99">
      <w:pPr>
        <w:spacing w:after="0"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(a)</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Victim -Witness Needs Assessment and Planning</w:t>
      </w:r>
    </w:p>
    <w:p w14:paraId="7F60CF41">
      <w:pPr>
        <w:pStyle w:val="34"/>
        <w:spacing w:after="0" w:line="360" w:lineRule="auto"/>
        <w:ind w:left="0"/>
        <w:jc w:val="both"/>
        <w:rPr>
          <w:rFonts w:ascii="Times New Roman" w:hAnsi="Times New Roman" w:eastAsia="Times New Roman" w:cs="Times New Roman"/>
          <w:i/>
          <w:iCs/>
          <w:sz w:val="28"/>
          <w:szCs w:val="28"/>
        </w:rPr>
      </w:pPr>
      <w:r>
        <w:rPr>
          <w:rFonts w:ascii="Times New Roman" w:hAnsi="Times New Roman" w:eastAsia="Times New Roman" w:cs="Times New Roman"/>
          <w:i/>
          <w:iCs/>
          <w:sz w:val="28"/>
          <w:szCs w:val="28"/>
        </w:rPr>
        <w:t>Question: what do witnesses with lived victimization experience require to fully participate in court? How can court processes accommodate these needs?</w:t>
      </w:r>
    </w:p>
    <w:p w14:paraId="0FA36DEF">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All victim-witnesses who are Persons Living with Disabilities (PLWD), minors, elderly and pregnant or breastfeeding mothers are considered to be vulnerable individuals. Victim-witness(es) needs must be assessed and ascertained as early as possible, preferably at the time that the offence is reported to the police or other relevant authorities. This information needs to be updated by prosecutors and those involved in preparing case files. When it has been determined that the case would going to trial, a record of the victim-witness condition and needs </w:t>
      </w:r>
      <w:r>
        <w:rPr>
          <w:rFonts w:ascii="Times New Roman" w:hAnsi="Times New Roman" w:eastAsia="Times New Roman" w:cs="Times New Roman"/>
          <w:sz w:val="28"/>
          <w:szCs w:val="28"/>
          <w:u w:val="single"/>
        </w:rPr>
        <w:t>MUST BE</w:t>
      </w:r>
      <w:r>
        <w:rPr>
          <w:rFonts w:ascii="Times New Roman" w:hAnsi="Times New Roman" w:eastAsia="Times New Roman" w:cs="Times New Roman"/>
          <w:sz w:val="28"/>
          <w:szCs w:val="28"/>
        </w:rPr>
        <w:t xml:space="preserve"> transmitted to designate court (Registry) staff. Specific information on the needs of the condition and needs of the victim-witness should be updated regularly and confirmed to the judge </w:t>
      </w:r>
      <w:r>
        <w:rPr>
          <w:rFonts w:ascii="Times New Roman" w:hAnsi="Times New Roman" w:eastAsia="Times New Roman" w:cs="Times New Roman"/>
          <w:b/>
          <w:bCs/>
          <w:sz w:val="28"/>
          <w:szCs w:val="28"/>
        </w:rPr>
        <w:t>closer to the trial date</w:t>
      </w:r>
      <w:r>
        <w:rPr>
          <w:rFonts w:ascii="Times New Roman" w:hAnsi="Times New Roman" w:eastAsia="Times New Roman" w:cs="Times New Roman"/>
          <w:sz w:val="28"/>
          <w:szCs w:val="28"/>
        </w:rPr>
        <w:t>. In contexts where victim- centred justice delivery is new, it is recommended that for efficiency in meeting the needs of victims, the work schedule for judges and court staff deliberately set aside time to learn about, understand and attend to the identified needs of victim-witnesses before the trial date.</w:t>
      </w:r>
    </w:p>
    <w:p w14:paraId="54A577B6">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Some victim-witnesses might have existing conditions that require additional support for them to have an equal opportunity to participate in court proceedings. Examples of Needs and Support required for Equal Access to Justice include: literacy, disability support, accessibility of court premises, protection, designated alternative entrance to court building, video-link to court from remote witness service location and pre-trial court familiarization visits, among others. </w:t>
      </w:r>
    </w:p>
    <w:p w14:paraId="72C6315F">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These examples are introduced below, but pictorial illustrations will be projected during the presentation: -  </w:t>
      </w:r>
    </w:p>
    <w:p w14:paraId="56D5BD05">
      <w:pPr>
        <w:pStyle w:val="34"/>
        <w:numPr>
          <w:ilvl w:val="0"/>
          <w:numId w:val="10"/>
        </w:numPr>
        <w:spacing w:after="0" w:line="360"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Literacy: </w:t>
      </w:r>
      <w:r>
        <w:rPr>
          <w:rFonts w:ascii="Times New Roman" w:hAnsi="Times New Roman" w:eastAsia="Times New Roman" w:cs="Times New Roman"/>
          <w:sz w:val="28"/>
          <w:szCs w:val="28"/>
        </w:rPr>
        <w:t>If the witness is illiterate, they will require an interpreter to read a statement to them. If not English literate, they may require two-way translation in court throughout their court visit.</w:t>
      </w:r>
    </w:p>
    <w:p w14:paraId="2A8AD6CF">
      <w:pPr>
        <w:pStyle w:val="34"/>
        <w:numPr>
          <w:ilvl w:val="0"/>
          <w:numId w:val="10"/>
        </w:numPr>
        <w:spacing w:after="0" w:line="360" w:lineRule="auto"/>
        <w:ind w:left="426" w:hanging="436"/>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Persons Living with Disabilities (PLWD): </w:t>
      </w:r>
      <w:r>
        <w:rPr>
          <w:rFonts w:ascii="Times New Roman" w:hAnsi="Times New Roman" w:eastAsia="Times New Roman" w:cs="Times New Roman"/>
          <w:sz w:val="28"/>
          <w:szCs w:val="28"/>
        </w:rPr>
        <w:t xml:space="preserve">If hearing and/or visually impaired then two items need to be provided: </w:t>
      </w:r>
      <w:r>
        <w:rPr>
          <w:rFonts w:ascii="Times New Roman" w:hAnsi="Times New Roman" w:eastAsia="Times New Roman" w:cs="Times New Roman"/>
          <w:i/>
          <w:iCs/>
          <w:sz w:val="28"/>
          <w:szCs w:val="28"/>
        </w:rPr>
        <w:t>Court location</w:t>
      </w:r>
      <w:r>
        <w:rPr>
          <w:rFonts w:ascii="Times New Roman" w:hAnsi="Times New Roman" w:eastAsia="Times New Roman" w:cs="Times New Roman"/>
          <w:sz w:val="28"/>
          <w:szCs w:val="28"/>
        </w:rPr>
        <w:t xml:space="preserve">: Planning with family to ensure logistical support for PLWD to know location of court building, navigate premises to locate correct court on time; </w:t>
      </w:r>
      <w:r>
        <w:rPr>
          <w:rFonts w:ascii="Times New Roman" w:hAnsi="Times New Roman" w:eastAsia="Times New Roman" w:cs="Times New Roman"/>
          <w:i/>
          <w:iCs/>
          <w:sz w:val="28"/>
          <w:szCs w:val="28"/>
        </w:rPr>
        <w:t>Communication</w:t>
      </w:r>
      <w:r>
        <w:rPr>
          <w:rFonts w:ascii="Times New Roman" w:hAnsi="Times New Roman" w:eastAsia="Times New Roman" w:cs="Times New Roman"/>
          <w:sz w:val="28"/>
          <w:szCs w:val="28"/>
        </w:rPr>
        <w:t xml:space="preserve"> in court: tailored to suit needs and abilities of PLWD witness e.g. Sign language interpreters for the hearing impaired.</w:t>
      </w:r>
    </w:p>
    <w:p w14:paraId="4FD0C893">
      <w:pPr>
        <w:pStyle w:val="34"/>
        <w:numPr>
          <w:ilvl w:val="0"/>
          <w:numId w:val="11"/>
        </w:numPr>
        <w:spacing w:after="0" w:line="360" w:lineRule="auto"/>
        <w:ind w:left="284"/>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Elderly and/or Physically mobility challenged: </w:t>
      </w:r>
      <w:r>
        <w:rPr>
          <w:rFonts w:ascii="Times New Roman" w:hAnsi="Times New Roman" w:eastAsia="Times New Roman" w:cs="Times New Roman"/>
          <w:sz w:val="28"/>
          <w:szCs w:val="28"/>
        </w:rPr>
        <w:t>e.g. if wheelchair-bound or using waking aids, then ramp needs to be provided for ease of access at the entrance to the court building, assign a ground-floor courtroom or one reachable by lift. Ensuring courtroom layout is conducive to vulnerable individuals e.g. wheelchair access, separate court building entrance, and waiting areas.</w:t>
      </w:r>
    </w:p>
    <w:p w14:paraId="2A029DF1">
      <w:pPr>
        <w:pStyle w:val="34"/>
        <w:numPr>
          <w:ilvl w:val="0"/>
          <w:numId w:val="12"/>
        </w:numPr>
        <w:spacing w:after="0" w:line="360" w:lineRule="auto"/>
        <w:ind w:left="284"/>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Nervous, Intimidated Victim-Witnesses: </w:t>
      </w:r>
      <w:r>
        <w:rPr>
          <w:rFonts w:ascii="Times New Roman" w:hAnsi="Times New Roman" w:eastAsia="Times New Roman" w:cs="Times New Roman"/>
          <w:sz w:val="28"/>
          <w:szCs w:val="28"/>
        </w:rPr>
        <w:t>It is not unusual for people who have been harmed by a criminal act to feel vulnerable. Such individuals are susceptible to feelings of anxiety, fear and dread coming face to face with the crime perpetrator in the court corridors and court room.  In addition, intimidation of witnesses by offenders directly or indirectly could further traumatize those identified to give evidence in court. This could lead to victim-witnesses withdrawing from cases for fear of seeing the defendant or being in the same court room. The use of ‘Special Measures’ have been found to improve chances of the vulnerable and intimidated witness participating fully in the trials.</w:t>
      </w:r>
    </w:p>
    <w:p w14:paraId="4C4F5BF7">
      <w:pPr>
        <w:pStyle w:val="34"/>
        <w:numPr>
          <w:ilvl w:val="0"/>
          <w:numId w:val="12"/>
        </w:numPr>
        <w:spacing w:after="0" w:line="360" w:lineRule="auto"/>
        <w:ind w:left="284"/>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Pre-trial Court Familiarization Visits</w:t>
      </w:r>
    </w:p>
    <w:p w14:paraId="1B880333">
      <w:pPr>
        <w:pStyle w:val="34"/>
        <w:spacing w:after="0" w:line="360" w:lineRule="auto"/>
        <w:ind w:left="284"/>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For many lay people, courtrooms are not familiar territory. To set witnesses at ease, where it is practically feasible, prearranged in-person visits for witness and their close associate to the courtroom provides them an opportunity to view the courtroom layout ahead of the court hearing date, to view court layout and designated positions of court participants. Alternatively, they can be talked through photo of the court setting. During such visits, information on court procedure and allowing them to ask questions and get answers enables victim-witnesses to exercise their basic rights. </w:t>
      </w:r>
    </w:p>
    <w:p w14:paraId="3F34007D">
      <w:pPr>
        <w:pStyle w:val="34"/>
        <w:numPr>
          <w:ilvl w:val="0"/>
          <w:numId w:val="13"/>
        </w:numPr>
        <w:spacing w:after="0" w:line="360"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Victim Support in the Community:</w:t>
      </w:r>
      <w:r>
        <w:rPr>
          <w:rFonts w:ascii="Times New Roman" w:hAnsi="Times New Roman" w:eastAsia="Times New Roman" w:cs="Times New Roman"/>
          <w:sz w:val="28"/>
          <w:szCs w:val="28"/>
        </w:rPr>
        <w:t xml:space="preserve">  outside court premises in the community, counsellors to reassure the victim and for stress management counselling, etc.</w:t>
      </w:r>
    </w:p>
    <w:p w14:paraId="490387B0">
      <w:pPr>
        <w:spacing w:after="0" w:line="276" w:lineRule="auto"/>
        <w:jc w:val="both"/>
        <w:rPr>
          <w:rFonts w:ascii="Times New Roman" w:hAnsi="Times New Roman" w:eastAsia="Times New Roman" w:cs="Times New Roman"/>
          <w:sz w:val="28"/>
          <w:szCs w:val="28"/>
        </w:rPr>
      </w:pPr>
    </w:p>
    <w:p w14:paraId="4BD30385">
      <w:pPr>
        <w:spacing w:after="0" w:line="360" w:lineRule="auto"/>
        <w:jc w:val="both"/>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SUPPORT ON TRIAL DATE</w:t>
      </w:r>
    </w:p>
    <w:p w14:paraId="71DDDA86">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Special Measures are practical adjustments, tools and procedures to create an enabling victim-friendly environment in courts.</w:t>
      </w:r>
    </w:p>
    <w:p w14:paraId="71CC1DE9">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Adjustments are selected with the victim’s needs in mind. Such modifications may entail making any one or more of the following additional adjustments and provisions within courtroom to set the traumatised victim at ease: -</w:t>
      </w:r>
    </w:p>
    <w:p w14:paraId="49F4E495">
      <w:pPr>
        <w:pStyle w:val="34"/>
        <w:numPr>
          <w:ilvl w:val="0"/>
          <w:numId w:val="12"/>
        </w:numPr>
        <w:spacing w:after="0" w:line="360" w:lineRule="auto"/>
        <w:ind w:left="426"/>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Use of Screens</w:t>
      </w:r>
    </w:p>
    <w:p w14:paraId="4595A23C">
      <w:pPr>
        <w:spacing w:after="0" w:line="360" w:lineRule="auto"/>
        <w:ind w:left="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When a witness states that they find seeing the offender disturbing and that this might make them feel nervous or distressed and this might make them forgetful, afraid, nervous screens are recommended.  Screens are foldable, movable, opaque, temporary, vertical structures used to obstruct the victim-witness line of vision so that they do not see the defendant while giving evidence in the same courtroom.  They are usually installed near an alternative entrance to courtroom but away from the defendant. They are easy to put in place and can be dismantled and removed within a few minutes. They need to be in place before the witness enters courtroom. Where screens have been used, witnesses have found them useful because not seeing the defendant helped them focus on the judge/magistrate, prosecutor and they legal counsel only.</w:t>
      </w:r>
    </w:p>
    <w:p w14:paraId="35A9570D">
      <w:pPr>
        <w:pStyle w:val="34"/>
        <w:numPr>
          <w:ilvl w:val="0"/>
          <w:numId w:val="12"/>
        </w:numPr>
        <w:spacing w:before="240" w:after="240" w:line="276"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Voice Distortion</w:t>
      </w:r>
    </w:p>
    <w:p w14:paraId="438138C7">
      <w:pPr>
        <w:spacing w:before="240" w:after="240" w:line="360" w:lineRule="auto"/>
        <w:ind w:left="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Technical alteration of the sound of a witnesses’ voice is a service provided by forensic audio specialists. A change in how the witness’s voice sounds might be necessary to protect their identity when presenting evidence either via video link or pre-recorded evidence.  Maintaining the anonymity of witnesses may be necessary if they are otherwise known to the defendant, or if they could be identified using their normal voice and/or if divulging their identity would put them or their family at risk. Such special measures are applied where witness safety is paramount to their participation in criminal proceedings e.g. for protected witnesses or in the case of offender turned state witness (plea bargaining).</w:t>
      </w:r>
    </w:p>
    <w:p w14:paraId="03250D7B">
      <w:pPr>
        <w:pStyle w:val="34"/>
        <w:numPr>
          <w:ilvl w:val="0"/>
          <w:numId w:val="12"/>
        </w:numPr>
        <w:spacing w:after="0" w:line="360" w:lineRule="auto"/>
        <w:ind w:left="426"/>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Closed Hearing (in-camera) Sessions</w:t>
      </w:r>
      <w:r>
        <w:rPr>
          <w:rFonts w:ascii="Times New Roman" w:hAnsi="Times New Roman" w:eastAsia="Times New Roman" w:cs="Times New Roman"/>
          <w:sz w:val="28"/>
          <w:szCs w:val="28"/>
        </w:rPr>
        <w:t xml:space="preserve"> </w:t>
      </w:r>
    </w:p>
    <w:p w14:paraId="578E1421">
      <w:pPr>
        <w:spacing w:after="0" w:line="360" w:lineRule="auto"/>
        <w:ind w:left="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 trials where sensitive, confidential, private information is presented, members of the pubic might not be allowed to observe court proceedings. Only certain people directly involved in the trial may be allowed to participate or to be present in the courtroom. Further restrictions could include limiting information that one can access on the discussion preceding their appearance and/or questions that one can ask. Closed sessions have been found helpful for child witnesses, vulnerable and/or intimidated witnesses in cases of terrorism, sexual assault, or touching on matters of national security, of organised crime and where witness is at risk e.g. cases of banditry, kidnap for ransom, etc.</w:t>
      </w:r>
    </w:p>
    <w:p w14:paraId="5D997335">
      <w:pPr>
        <w:spacing w:after="0" w:line="360" w:lineRule="auto"/>
        <w:ind w:left="66"/>
        <w:jc w:val="both"/>
        <w:rPr>
          <w:rFonts w:ascii="Times New Roman" w:hAnsi="Times New Roman" w:eastAsia="Times New Roman" w:cs="Times New Roman"/>
          <w:sz w:val="28"/>
          <w:szCs w:val="28"/>
        </w:rPr>
      </w:pPr>
    </w:p>
    <w:p w14:paraId="24BDC230">
      <w:pPr>
        <w:pStyle w:val="34"/>
        <w:numPr>
          <w:ilvl w:val="0"/>
          <w:numId w:val="12"/>
        </w:numPr>
        <w:spacing w:after="0" w:line="360" w:lineRule="auto"/>
        <w:ind w:left="426"/>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Video-link</w:t>
      </w:r>
    </w:p>
    <w:p w14:paraId="1ECF7BFD">
      <w:pPr>
        <w:spacing w:after="0" w:line="360" w:lineRule="auto"/>
        <w:ind w:left="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Court proceedings allowing either defendant or witnesses to attend court via video link is common and very useful in certain cases. Provision of video link can either be from another part of the court building or remotely from elsewhere from a location within the court’s jurisdiction. The equipment must belong to the judiciary and information collected, processed, shared and stored in accordance with judiciary guidelines. Video link has been useful for cases involving dangerous criminals as well as VIWs. When moving dangerous criminal between custody and court poses a risk of their escape or ambush by fellow criminals and further danger to staff ferrying the suspect, evidence by video link is preferred. Vulnerable and/or Intimidated Witnesses deemed to be at ‘high risk’ or who could become anxious, fearful or forgetful if they meet the defendant or their associates on the court premises court premises, s participate in a separate part of the court; or remote judicially approved location away from court building.</w:t>
      </w:r>
    </w:p>
    <w:p w14:paraId="437AD1AC">
      <w:pPr>
        <w:spacing w:after="0" w:line="360" w:lineRule="auto"/>
        <w:ind w:left="66"/>
        <w:jc w:val="both"/>
        <w:rPr>
          <w:rFonts w:ascii="Times New Roman" w:hAnsi="Times New Roman" w:eastAsia="Times New Roman" w:cs="Times New Roman"/>
          <w:sz w:val="28"/>
          <w:szCs w:val="28"/>
        </w:rPr>
      </w:pPr>
    </w:p>
    <w:p w14:paraId="26C08E54">
      <w:pPr>
        <w:pStyle w:val="34"/>
        <w:numPr>
          <w:ilvl w:val="0"/>
          <w:numId w:val="12"/>
        </w:numPr>
        <w:spacing w:after="0" w:line="360" w:lineRule="auto"/>
        <w:ind w:left="426"/>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Intermediary Handbook</w:t>
      </w:r>
    </w:p>
    <w:p w14:paraId="4420F310">
      <w:pPr>
        <w:spacing w:after="0" w:line="360" w:lineRule="auto"/>
        <w:ind w:left="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Intermediary handbooks are a less-used but very helpful communication aid used by communication specialists to help two-way between hearing impaired individuals, child witnesses, those with mental disabilities or disorders to give evidence to the police and court during trials. The booklets are designed to contain pictures and names of parts of the body, common items, emotions and to meet the special communication needs of the witness in expressing themselves fully. The picture-word-emotion-thought booklet should use images appropriate to the witness’s culture which they can identify with. The judicially approved manuals for children or mentally handicapped the help the witnesses to express their thoughts and express themselves clearly. When they are used in trials, the judge normally allows more time for the communication expert to facilitate the 2-way communication between the witness and judge.</w:t>
      </w:r>
    </w:p>
    <w:p w14:paraId="74AB2EFA">
      <w:pPr>
        <w:spacing w:after="0" w:line="360" w:lineRule="auto"/>
        <w:ind w:left="66"/>
        <w:jc w:val="both"/>
        <w:rPr>
          <w:rFonts w:ascii="Times New Roman" w:hAnsi="Times New Roman" w:eastAsia="Times New Roman" w:cs="Times New Roman"/>
          <w:sz w:val="28"/>
          <w:szCs w:val="28"/>
        </w:rPr>
      </w:pPr>
    </w:p>
    <w:p w14:paraId="4E853684">
      <w:pPr>
        <w:pStyle w:val="34"/>
        <w:numPr>
          <w:ilvl w:val="0"/>
          <w:numId w:val="12"/>
        </w:numPr>
        <w:spacing w:after="0" w:line="360" w:lineRule="auto"/>
        <w:ind w:left="426"/>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Flexible Court Sessions</w:t>
      </w:r>
    </w:p>
    <w:p w14:paraId="67893719">
      <w:pPr>
        <w:spacing w:after="0" w:line="360" w:lineRule="auto"/>
        <w:ind w:left="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Instances whereby witness (victim) is either on medication, or requires frequent use of the toilet facilities, or has an (PTSD) episode in court, judge can adjourn the proceedings allowing for a break, or make provision for shorter hearing sessions.</w:t>
      </w:r>
    </w:p>
    <w:p w14:paraId="4C891C08">
      <w:pPr>
        <w:spacing w:after="0" w:line="360" w:lineRule="auto"/>
        <w:ind w:left="66"/>
        <w:jc w:val="both"/>
        <w:rPr>
          <w:rFonts w:ascii="Times New Roman" w:hAnsi="Times New Roman" w:eastAsia="Times New Roman" w:cs="Times New Roman"/>
          <w:sz w:val="28"/>
          <w:szCs w:val="28"/>
        </w:rPr>
      </w:pPr>
    </w:p>
    <w:p w14:paraId="0C3D86F2">
      <w:pPr>
        <w:pStyle w:val="34"/>
        <w:numPr>
          <w:ilvl w:val="0"/>
          <w:numId w:val="1"/>
        </w:numPr>
        <w:spacing w:before="240" w:after="240" w:line="276" w:lineRule="auto"/>
        <w:ind w:left="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PSYCHO-SOCIO VICTIM SUPPORT </w:t>
      </w:r>
    </w:p>
    <w:p w14:paraId="2F6EBB0C">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core business of courts is to prosecute suspects. The emergence of victims of crime as stakeholders in the criminal justice system brings with it new responsibilities that court officials are expected to handle in dispensing justice. Individuals who have suffered harm as a result of the criminal activity under scrutiny, and who participate in court cases as witnesses often have psychological and social (psycho-socio) support needs that are beyond the scope of the court services. The victimization incident may have many of negative ripple effects in the lives of victims – physical, emotional, social, mental health, financial, etc.. Consequences such as hospitalization, financial destitution, homelessness, separation from children and family (support systems), forced relocation/displacement, loss of earnings or savings, being unable to access one’s bank account, reduced ability to obtain adequate and nutritious food, no medical/anti-natal care, being unable to afford their prescribed medication, crowed or unhygienic living conditions, etc. For instance, apprehended juvenile delinquents, rescued child soldiers, domestic violence victims could have need for shelter and rehabilitation. In addition, vulnerable individuals preoccupied with hunger, fear of retribution by crime perpetrators, declining health, discomfort of homelessness, financial distress, could compel victim-witnesses to withdraw from participation in court cases. Unless such needs of victims are addressed, the general negative perception of police and court officials by victims who think that the officials are not listening to them, may make justice for victims unattainable. Victim-witnesses need to feel that the criminal justice system values them, is working for them, ‘helping’ them restore their human dignity. </w:t>
      </w:r>
    </w:p>
    <w:p w14:paraId="460A79A0">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Meeting these real and pressing victims’ psychological and social (Psycho-socio) needs falls outside the remit of criminal justice agencies. Thus the need for a multi-agency approach in which the police, courts, borstal institutions and corrections work alongside NGOs, CBOs, youth groups and legal aid providers to support victims’ efforts to get their psycho-socio needs met before the trial begins, during trials, while perpetrator is incarcerated and for the safe release of prisoners and juveniles back into their communities.</w:t>
      </w:r>
    </w:p>
    <w:p w14:paraId="71E1E6A7">
      <w:pPr>
        <w:spacing w:after="0"/>
        <w:jc w:val="both"/>
        <w:rPr>
          <w:rFonts w:ascii="Times New Roman" w:hAnsi="Times New Roman" w:cs="Times New Roman"/>
          <w:sz w:val="28"/>
          <w:szCs w:val="28"/>
        </w:rPr>
      </w:pPr>
    </w:p>
    <w:p w14:paraId="635EFA83">
      <w:pPr>
        <w:spacing w:after="0"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The presenter will capture the rich co-produced output derived from the participants’ wealth of experience in different courts. This will be documented to provide initial ideas for victim-mainstreaming in the context of the Superior Courts in Nigeria.</w:t>
      </w:r>
    </w:p>
    <w:p w14:paraId="274D9DB3">
      <w:pPr>
        <w:spacing w:after="0" w:line="360" w:lineRule="auto"/>
        <w:jc w:val="both"/>
        <w:rPr>
          <w:rFonts w:ascii="Times New Roman" w:hAnsi="Times New Roman" w:eastAsia="Times New Roman" w:cs="Times New Roman"/>
          <w:bCs/>
          <w:sz w:val="28"/>
          <w:szCs w:val="28"/>
        </w:rPr>
      </w:pPr>
    </w:p>
    <w:p w14:paraId="77525206">
      <w:pPr>
        <w:pStyle w:val="34"/>
        <w:numPr>
          <w:ilvl w:val="0"/>
          <w:numId w:val="1"/>
        </w:numPr>
        <w:shd w:val="clear" w:color="auto" w:fill="FFFFFF" w:themeFill="background1"/>
        <w:spacing w:before="240" w:after="240" w:line="360" w:lineRule="auto"/>
        <w:ind w:left="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GROUP DISCUSSION TOPICS</w:t>
      </w:r>
    </w:p>
    <w:p w14:paraId="2C21B195">
      <w:pPr>
        <w:spacing w:before="240" w:after="240" w:line="36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Through group discussion, participants will engage in problem-based learning from case studies drawing on perspectives from the different courts represented: -</w:t>
      </w:r>
    </w:p>
    <w:p w14:paraId="7B8D80B0">
      <w:pPr>
        <w:pStyle w:val="34"/>
        <w:numPr>
          <w:ilvl w:val="0"/>
          <w:numId w:val="14"/>
        </w:numPr>
        <w:spacing w:line="360" w:lineRule="auto"/>
        <w:ind w:left="284" w:hanging="270"/>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b/>
          <w:bCs/>
          <w:color w:val="000000" w:themeColor="text1"/>
          <w:kern w:val="0"/>
          <w:sz w:val="28"/>
          <w:szCs w:val="28"/>
          <w14:textFill>
            <w14:solidFill>
              <w14:schemeClr w14:val="tx1"/>
            </w14:solidFill>
          </w14:textFill>
          <w14:ligatures w14:val="none"/>
        </w:rPr>
        <w:t>Group One</w:t>
      </w:r>
    </w:p>
    <w:p w14:paraId="00BBADEC">
      <w:pPr>
        <w:pStyle w:val="34"/>
        <w:spacing w:line="360" w:lineRule="auto"/>
        <w:ind w:left="0"/>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b/>
          <w:bCs/>
          <w:color w:val="000000" w:themeColor="text1"/>
          <w:kern w:val="0"/>
          <w:sz w:val="28"/>
          <w:szCs w:val="28"/>
          <w14:textFill>
            <w14:solidFill>
              <w14:schemeClr w14:val="tx1"/>
            </w14:solidFill>
          </w14:textFill>
          <w14:ligatures w14:val="none"/>
        </w:rPr>
        <w:t>Topic: Impact of Trauma on Memory</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br w:type="textWrapping"/>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Case Study #1: will be provided at the end of the lecture, examining the effects of trauma on victims’ </w:t>
      </w:r>
      <w:r>
        <w:rPr>
          <w:rFonts w:ascii="Times New Roman" w:hAnsi="Times New Roman" w:eastAsia="Times New Roman" w:cs="Times New Roman"/>
          <w:b/>
          <w:bCs/>
          <w:color w:val="000000" w:themeColor="text1"/>
          <w:kern w:val="0"/>
          <w:sz w:val="28"/>
          <w:szCs w:val="28"/>
          <w14:textFill>
            <w14:solidFill>
              <w14:schemeClr w14:val="tx1"/>
            </w14:solidFill>
          </w14:textFill>
          <w14:ligatures w14:val="none"/>
        </w:rPr>
        <w:t>ability to recall details</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 of their criminal incident clearly and articulately.</w:t>
      </w:r>
    </w:p>
    <w:p w14:paraId="23A66F48">
      <w:pPr>
        <w:pStyle w:val="34"/>
        <w:spacing w:line="360" w:lineRule="auto"/>
        <w:ind w:left="0"/>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Exercising discretion, what intervention can the Judge employ within the law?</w:t>
      </w:r>
    </w:p>
    <w:p w14:paraId="65CD5FE7">
      <w:pPr>
        <w:pStyle w:val="34"/>
        <w:spacing w:line="360" w:lineRule="auto"/>
        <w:ind w:left="0"/>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p>
    <w:p w14:paraId="3FFE68DB">
      <w:pPr>
        <w:pStyle w:val="34"/>
        <w:numPr>
          <w:ilvl w:val="0"/>
          <w:numId w:val="14"/>
        </w:numPr>
        <w:spacing w:line="360" w:lineRule="auto"/>
        <w:ind w:left="284" w:hanging="270"/>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b/>
          <w:bCs/>
          <w:color w:val="000000" w:themeColor="text1"/>
          <w:kern w:val="0"/>
          <w:sz w:val="28"/>
          <w:szCs w:val="28"/>
          <w14:textFill>
            <w14:solidFill>
              <w14:schemeClr w14:val="tx1"/>
            </w14:solidFill>
          </w14:textFill>
          <w14:ligatures w14:val="none"/>
        </w:rPr>
        <w:t>Group Two</w:t>
      </w:r>
    </w:p>
    <w:p w14:paraId="13D8EC8B">
      <w:pPr>
        <w:pStyle w:val="34"/>
        <w:spacing w:line="360" w:lineRule="auto"/>
        <w:ind w:left="0"/>
        <w:rPr>
          <w:rFonts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b/>
          <w:bCs/>
          <w:color w:val="000000" w:themeColor="text1"/>
          <w:kern w:val="0"/>
          <w:sz w:val="28"/>
          <w:szCs w:val="28"/>
          <w14:textFill>
            <w14:solidFill>
              <w14:schemeClr w14:val="tx1"/>
            </w14:solidFill>
          </w14:textFill>
          <w14:ligatures w14:val="none"/>
        </w:rPr>
        <w:t>Topic: Impact of Trauma on Witness Behaviour</w:t>
      </w:r>
    </w:p>
    <w:p w14:paraId="6EDBEE58">
      <w:pPr>
        <w:pStyle w:val="34"/>
        <w:spacing w:line="360" w:lineRule="auto"/>
        <w:ind w:left="0"/>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Case Study #2: will focus on </w:t>
      </w:r>
      <w:r>
        <w:rPr>
          <w:rFonts w:ascii="Times New Roman" w:hAnsi="Times New Roman" w:eastAsia="Times New Roman" w:cs="Times New Roman"/>
          <w:b/>
          <w:bCs/>
          <w:color w:val="000000" w:themeColor="text1"/>
          <w:kern w:val="0"/>
          <w:sz w:val="28"/>
          <w:szCs w:val="28"/>
          <w14:textFill>
            <w14:solidFill>
              <w14:schemeClr w14:val="tx1"/>
            </w14:solidFill>
          </w14:textFill>
          <w14:ligatures w14:val="none"/>
        </w:rPr>
        <w:t>behavioural cues</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 that a Judge could identify, that signify intrusive thoughts hampering a victim’s participation in court proceedings.</w:t>
      </w:r>
    </w:p>
    <w:p w14:paraId="4BC8DC51">
      <w:pPr>
        <w:pStyle w:val="34"/>
        <w:spacing w:line="360" w:lineRule="auto"/>
        <w:ind w:left="0"/>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The task: Using their discretion, which of the suggested victim-centred helps could the Judge draw on to progress the hearing</w:t>
      </w:r>
    </w:p>
    <w:p w14:paraId="4352F276">
      <w:pPr>
        <w:pStyle w:val="34"/>
        <w:spacing w:line="360" w:lineRule="auto"/>
        <w:ind w:left="0"/>
        <w:rPr>
          <w:rFonts w:ascii="Times New Roman" w:hAnsi="Times New Roman" w:eastAsia="Times New Roman" w:cs="Times New Roman"/>
          <w:b/>
          <w:bCs/>
          <w:color w:val="000000" w:themeColor="text1"/>
          <w:kern w:val="0"/>
          <w:sz w:val="28"/>
          <w:szCs w:val="28"/>
          <w14:textFill>
            <w14:solidFill>
              <w14:schemeClr w14:val="tx1"/>
            </w14:solidFill>
          </w14:textFill>
          <w14:ligatures w14:val="none"/>
        </w:rPr>
      </w:pPr>
    </w:p>
    <w:p w14:paraId="1DBD165D">
      <w:pPr>
        <w:pStyle w:val="34"/>
        <w:numPr>
          <w:ilvl w:val="0"/>
          <w:numId w:val="14"/>
        </w:numPr>
        <w:spacing w:line="360" w:lineRule="auto"/>
        <w:ind w:left="284" w:hanging="270"/>
        <w:rPr>
          <w:rFonts w:ascii="Times New Roman" w:hAnsi="Times New Roman" w:eastAsia="Times New Roman" w:cs="Times New Roman"/>
          <w:color w:val="000000"/>
          <w:kern w:val="0"/>
          <w:sz w:val="28"/>
          <w:szCs w:val="28"/>
          <w14:ligatures w14:val="none"/>
        </w:rPr>
      </w:pPr>
      <w:r>
        <w:rPr>
          <w:rFonts w:ascii="Times New Roman" w:hAnsi="Times New Roman" w:eastAsia="Times New Roman" w:cs="Times New Roman"/>
          <w:b/>
          <w:bCs/>
          <w:color w:val="000000" w:themeColor="text1"/>
          <w:kern w:val="0"/>
          <w:sz w:val="28"/>
          <w:szCs w:val="28"/>
          <w14:textFill>
            <w14:solidFill>
              <w14:schemeClr w14:val="tx1"/>
            </w14:solidFill>
          </w14:textFill>
          <w14:ligatures w14:val="none"/>
        </w:rPr>
        <w:t>Group Three</w:t>
      </w:r>
    </w:p>
    <w:p w14:paraId="7F3FACB0">
      <w:pPr>
        <w:pStyle w:val="34"/>
        <w:spacing w:line="360" w:lineRule="auto"/>
        <w:ind w:left="0"/>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b/>
          <w:bCs/>
          <w:color w:val="000000" w:themeColor="text1"/>
          <w:kern w:val="0"/>
          <w:sz w:val="28"/>
          <w:szCs w:val="28"/>
          <w14:textFill>
            <w14:solidFill>
              <w14:schemeClr w14:val="tx1"/>
            </w14:solidFill>
          </w14:textFill>
          <w14:ligatures w14:val="none"/>
        </w:rPr>
        <w:t>Topic: Vulnerable and Intimidated Witness (VIW) Key Modalities and Infrastructure Modifications</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br w:type="textWrapping"/>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Case Study #3: will focus on a specific case of a group of VIWs appearing under Witness Protection</w:t>
      </w:r>
    </w:p>
    <w:p w14:paraId="106682D1">
      <w:pPr>
        <w:pStyle w:val="34"/>
        <w:spacing w:line="360" w:lineRule="auto"/>
        <w:ind w:left="0"/>
        <w:rPr>
          <w:rFonts w:ascii="Times New Roman" w:hAnsi="Times New Roman" w:eastAsia="Times New Roman" w:cs="Times New Roman"/>
          <w:color w:val="000000"/>
          <w:kern w:val="0"/>
          <w:sz w:val="28"/>
          <w:szCs w:val="28"/>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Group task: what </w:t>
      </w:r>
      <w:r>
        <w:rPr>
          <w:rFonts w:ascii="Times New Roman" w:hAnsi="Times New Roman" w:eastAsia="Times New Roman" w:cs="Times New Roman"/>
          <w:b/>
          <w:bCs/>
          <w:color w:val="000000" w:themeColor="text1"/>
          <w:kern w:val="0"/>
          <w:sz w:val="28"/>
          <w:szCs w:val="28"/>
          <w14:textFill>
            <w14:solidFill>
              <w14:schemeClr w14:val="tx1"/>
            </w14:solidFill>
          </w14:textFill>
          <w14:ligatures w14:val="none"/>
        </w:rPr>
        <w:t>practical court modifications</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 could provide a supportive environment for the VIWs on the day of the hearing</w:t>
      </w:r>
      <w:r>
        <w:rPr>
          <w:rFonts w:ascii="Times New Roman" w:hAnsi="Times New Roman" w:eastAsia="Times New Roman" w:cs="Times New Roman"/>
          <w:color w:val="767171" w:themeColor="background2" w:themeShade="80"/>
          <w:kern w:val="0"/>
          <w:sz w:val="28"/>
          <w:szCs w:val="28"/>
          <w14:ligatures w14:val="none"/>
        </w:rPr>
        <w:t>?</w:t>
      </w:r>
    </w:p>
    <w:p w14:paraId="535EE78F">
      <w:pPr>
        <w:spacing w:line="360" w:lineRule="auto"/>
        <w:rPr>
          <w:rFonts w:ascii="Times New Roman" w:hAnsi="Times New Roman" w:cs="Times New Roman"/>
          <w:b/>
          <w:bCs/>
          <w:sz w:val="28"/>
          <w:szCs w:val="28"/>
        </w:rPr>
      </w:pPr>
    </w:p>
    <w:p w14:paraId="1CFD6BBF">
      <w:pPr>
        <w:spacing w:after="0" w:line="360" w:lineRule="auto"/>
        <w:rPr>
          <w:rFonts w:ascii="Times New Roman" w:hAnsi="Times New Roman" w:eastAsia="Times New Roman" w:cs="Times New Roman"/>
          <w:b/>
          <w:bCs/>
          <w:color w:val="000000"/>
          <w:kern w:val="0"/>
          <w:sz w:val="28"/>
          <w:szCs w:val="28"/>
          <w14:ligatures w14:val="none"/>
        </w:rPr>
      </w:pPr>
      <w:r>
        <w:rPr>
          <w:rFonts w:ascii="Times New Roman" w:hAnsi="Times New Roman" w:eastAsia="Times New Roman" w:cs="Times New Roman"/>
          <w:b/>
          <w:bCs/>
          <w:color w:val="000000"/>
          <w:kern w:val="0"/>
          <w:sz w:val="28"/>
          <w:szCs w:val="28"/>
          <w14:ligatures w14:val="none"/>
        </w:rPr>
        <w:t>X. MODE OF DELIVERY</w:t>
      </w:r>
    </w:p>
    <w:p w14:paraId="18238E8F">
      <w:pPr>
        <w:spacing w:after="0"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Applying a functional delivery method, the session is planned to be interactive and engaging. </w:t>
      </w:r>
    </w:p>
    <w:p w14:paraId="439E2178">
      <w:pPr>
        <w:spacing w:after="0" w:line="360" w:lineRule="auto"/>
        <w:jc w:val="both"/>
        <w:rPr>
          <w:rFonts w:ascii="Times New Roman" w:hAnsi="Times New Roman" w:eastAsia="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The presentation will consist of three parts: a 30-minute lecture b) 45 minutes for group discussion and c) feedback session</w:t>
      </w:r>
    </w:p>
    <w:p w14:paraId="5D9336F5">
      <w:pPr>
        <w:spacing w:after="0"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The lecture will introduce key concepts to be applied in the group discussion segment.</w:t>
      </w:r>
    </w:p>
    <w:p w14:paraId="411B51EF">
      <w:pPr>
        <w:spacing w:after="0"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Feedback from discussion groups will be presented in a plenary session to generate ideas and recommendations on how to create a supportive court environment where witnesses can participate to the best of their ability, with respect and dignity.</w:t>
      </w:r>
    </w:p>
    <w:p w14:paraId="15F54419">
      <w:pPr>
        <w:spacing w:line="360" w:lineRule="auto"/>
        <w:jc w:val="both"/>
        <w:rPr>
          <w:rFonts w:ascii="Times New Roman" w:hAnsi="Times New Roman" w:eastAsia="Times New Roman" w:cs="Times New Roman"/>
          <w:bCs/>
          <w:sz w:val="28"/>
          <w:szCs w:val="28"/>
        </w:rPr>
      </w:pPr>
    </w:p>
    <w:p w14:paraId="7DB721FC">
      <w:pPr>
        <w:spacing w:line="360" w:lineRule="auto"/>
        <w:rPr>
          <w:rFonts w:ascii="Times New Roman" w:hAnsi="Times New Roman" w:eastAsia="Times New Roman" w:cs="Times New Roman"/>
          <w:b/>
          <w:bCs/>
          <w:color w:val="000000"/>
          <w:kern w:val="0"/>
          <w:sz w:val="28"/>
          <w:szCs w:val="28"/>
          <w14:ligatures w14:val="none"/>
        </w:rPr>
      </w:pPr>
      <w:r>
        <w:rPr>
          <w:rFonts w:ascii="Times New Roman" w:hAnsi="Times New Roman" w:eastAsia="Times New Roman" w:cs="Times New Roman"/>
          <w:b/>
          <w:bCs/>
          <w:color w:val="000000"/>
          <w:kern w:val="0"/>
          <w:sz w:val="28"/>
          <w:szCs w:val="28"/>
          <w14:ligatures w14:val="none"/>
        </w:rPr>
        <w:t>XI. CONCLUSION</w:t>
      </w:r>
    </w:p>
    <w:p w14:paraId="5F3E8D14">
      <w:pPr>
        <w:pBdr>
          <w:bottom w:val="double" w:color="auto" w:sz="6" w:space="1"/>
        </w:pBdr>
        <w:spacing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The presentation will conclude with a Question and Answer (Q and A) session.</w:t>
      </w:r>
    </w:p>
    <w:sectPr>
      <w:footerReference r:id="rId5" w:type="default"/>
      <w:pgSz w:w="11906" w:h="16838"/>
      <w:pgMar w:top="851" w:right="849" w:bottom="426" w:left="1134" w:header="708" w:footer="422"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8283915"/>
      <w:docPartObj>
        <w:docPartGallery w:val="AutoText"/>
      </w:docPartObj>
    </w:sdtPr>
    <w:sdtContent>
      <w:p w14:paraId="26BA0E07">
        <w:pPr>
          <w:pStyle w:val="16"/>
          <w:ind w:left="720"/>
          <w:jc w:val="center"/>
        </w:pPr>
        <w:r>
          <w:t xml:space="preserve">Page </w:t>
        </w:r>
        <w:r>
          <w:fldChar w:fldCharType="begin"/>
        </w:r>
        <w:r>
          <w:instrText xml:space="preserve"> PAGE   \* MERGEFORMAT </w:instrText>
        </w:r>
        <w:r>
          <w:fldChar w:fldCharType="separate"/>
        </w:r>
        <w:r>
          <w:t>2</w:t>
        </w:r>
        <w:r>
          <w:fldChar w:fldCharType="end"/>
        </w:r>
      </w:p>
    </w:sdtContent>
  </w:sdt>
  <w:p w14:paraId="57EB5C6B">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84231"/>
    <w:multiLevelType w:val="multilevel"/>
    <w:tmpl w:val="02384231"/>
    <w:lvl w:ilvl="0" w:tentative="0">
      <w:start w:val="1"/>
      <w:numFmt w:val="bullet"/>
      <w:lvlText w:val=""/>
      <w:lvlJc w:val="left"/>
      <w:pPr>
        <w:ind w:left="709" w:hanging="360"/>
      </w:pPr>
      <w:rPr>
        <w:rFonts w:hint="default" w:ascii="Wingdings" w:hAnsi="Wingdings"/>
      </w:rPr>
    </w:lvl>
    <w:lvl w:ilvl="1" w:tentative="0">
      <w:start w:val="1"/>
      <w:numFmt w:val="bullet"/>
      <w:lvlText w:val="o"/>
      <w:lvlJc w:val="left"/>
      <w:pPr>
        <w:ind w:left="1429" w:hanging="360"/>
      </w:pPr>
      <w:rPr>
        <w:rFonts w:hint="default" w:ascii="Courier New" w:hAnsi="Courier New" w:cs="Courier New"/>
      </w:rPr>
    </w:lvl>
    <w:lvl w:ilvl="2" w:tentative="0">
      <w:start w:val="1"/>
      <w:numFmt w:val="bullet"/>
      <w:lvlText w:val=""/>
      <w:lvlJc w:val="left"/>
      <w:pPr>
        <w:ind w:left="2149" w:hanging="360"/>
      </w:pPr>
      <w:rPr>
        <w:rFonts w:hint="default" w:ascii="Wingdings" w:hAnsi="Wingdings"/>
      </w:rPr>
    </w:lvl>
    <w:lvl w:ilvl="3" w:tentative="0">
      <w:start w:val="1"/>
      <w:numFmt w:val="bullet"/>
      <w:lvlText w:val=""/>
      <w:lvlJc w:val="left"/>
      <w:pPr>
        <w:ind w:left="2869" w:hanging="360"/>
      </w:pPr>
      <w:rPr>
        <w:rFonts w:hint="default" w:ascii="Symbol" w:hAnsi="Symbol"/>
      </w:rPr>
    </w:lvl>
    <w:lvl w:ilvl="4" w:tentative="0">
      <w:start w:val="1"/>
      <w:numFmt w:val="bullet"/>
      <w:lvlText w:val="o"/>
      <w:lvlJc w:val="left"/>
      <w:pPr>
        <w:ind w:left="3589" w:hanging="360"/>
      </w:pPr>
      <w:rPr>
        <w:rFonts w:hint="default" w:ascii="Courier New" w:hAnsi="Courier New" w:cs="Courier New"/>
      </w:rPr>
    </w:lvl>
    <w:lvl w:ilvl="5" w:tentative="0">
      <w:start w:val="1"/>
      <w:numFmt w:val="bullet"/>
      <w:lvlText w:val=""/>
      <w:lvlJc w:val="left"/>
      <w:pPr>
        <w:ind w:left="4309" w:hanging="360"/>
      </w:pPr>
      <w:rPr>
        <w:rFonts w:hint="default" w:ascii="Wingdings" w:hAnsi="Wingdings"/>
      </w:rPr>
    </w:lvl>
    <w:lvl w:ilvl="6" w:tentative="0">
      <w:start w:val="1"/>
      <w:numFmt w:val="bullet"/>
      <w:lvlText w:val=""/>
      <w:lvlJc w:val="left"/>
      <w:pPr>
        <w:ind w:left="5029" w:hanging="360"/>
      </w:pPr>
      <w:rPr>
        <w:rFonts w:hint="default" w:ascii="Symbol" w:hAnsi="Symbol"/>
      </w:rPr>
    </w:lvl>
    <w:lvl w:ilvl="7" w:tentative="0">
      <w:start w:val="1"/>
      <w:numFmt w:val="bullet"/>
      <w:lvlText w:val="o"/>
      <w:lvlJc w:val="left"/>
      <w:pPr>
        <w:ind w:left="5749" w:hanging="360"/>
      </w:pPr>
      <w:rPr>
        <w:rFonts w:hint="default" w:ascii="Courier New" w:hAnsi="Courier New" w:cs="Courier New"/>
      </w:rPr>
    </w:lvl>
    <w:lvl w:ilvl="8" w:tentative="0">
      <w:start w:val="1"/>
      <w:numFmt w:val="bullet"/>
      <w:lvlText w:val=""/>
      <w:lvlJc w:val="left"/>
      <w:pPr>
        <w:ind w:left="6469" w:hanging="360"/>
      </w:pPr>
      <w:rPr>
        <w:rFonts w:hint="default" w:ascii="Wingdings" w:hAnsi="Wingdings"/>
      </w:rPr>
    </w:lvl>
  </w:abstractNum>
  <w:abstractNum w:abstractNumId="1">
    <w:nsid w:val="075612F0"/>
    <w:multiLevelType w:val="multilevel"/>
    <w:tmpl w:val="075612F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Calibri" w:hAnsi="Calibri"/>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Calibri" w:hAnsi="Calibri"/>
      </w:rPr>
    </w:lvl>
    <w:lvl w:ilvl="4" w:tentative="0">
      <w:start w:val="1"/>
      <w:numFmt w:val="bullet"/>
      <w:lvlText w:val="-"/>
      <w:lvlJc w:val="left"/>
      <w:pPr>
        <w:tabs>
          <w:tab w:val="left" w:pos="3600"/>
        </w:tabs>
        <w:ind w:left="3600" w:hanging="360"/>
      </w:pPr>
      <w:rPr>
        <w:rFonts w:hint="default" w:ascii="Calibri" w:hAnsi="Calibri"/>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Calibri" w:hAnsi="Calibri"/>
      </w:rPr>
    </w:lvl>
    <w:lvl w:ilvl="7" w:tentative="0">
      <w:start w:val="1"/>
      <w:numFmt w:val="bullet"/>
      <w:lvlText w:val="-"/>
      <w:lvlJc w:val="left"/>
      <w:pPr>
        <w:tabs>
          <w:tab w:val="left" w:pos="5760"/>
        </w:tabs>
        <w:ind w:left="5760" w:hanging="360"/>
      </w:pPr>
      <w:rPr>
        <w:rFonts w:hint="default" w:ascii="Calibri" w:hAnsi="Calibri"/>
      </w:rPr>
    </w:lvl>
    <w:lvl w:ilvl="8" w:tentative="0">
      <w:start w:val="1"/>
      <w:numFmt w:val="bullet"/>
      <w:lvlText w:val="-"/>
      <w:lvlJc w:val="left"/>
      <w:pPr>
        <w:tabs>
          <w:tab w:val="left" w:pos="6480"/>
        </w:tabs>
        <w:ind w:left="6480" w:hanging="360"/>
      </w:pPr>
      <w:rPr>
        <w:rFonts w:hint="default" w:ascii="Calibri" w:hAnsi="Calibri"/>
      </w:rPr>
    </w:lvl>
  </w:abstractNum>
  <w:abstractNum w:abstractNumId="2">
    <w:nsid w:val="088519DB"/>
    <w:multiLevelType w:val="multilevel"/>
    <w:tmpl w:val="088519D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F024FB8"/>
    <w:multiLevelType w:val="multilevel"/>
    <w:tmpl w:val="1F024FB8"/>
    <w:lvl w:ilvl="0" w:tentative="0">
      <w:start w:val="1"/>
      <w:numFmt w:val="bullet"/>
      <w:lvlText w:val=""/>
      <w:lvlJc w:val="left"/>
      <w:pPr>
        <w:ind w:left="450" w:hanging="360"/>
      </w:pPr>
      <w:rPr>
        <w:rFonts w:hint="default" w:ascii="Wingdings" w:hAnsi="Wingdings"/>
      </w:rPr>
    </w:lvl>
    <w:lvl w:ilvl="1" w:tentative="0">
      <w:start w:val="1"/>
      <w:numFmt w:val="bullet"/>
      <w:lvlText w:val="o"/>
      <w:lvlJc w:val="left"/>
      <w:pPr>
        <w:ind w:left="1170" w:hanging="360"/>
      </w:pPr>
      <w:rPr>
        <w:rFonts w:hint="default" w:ascii="Courier New" w:hAnsi="Courier New" w:cs="Courier New"/>
      </w:rPr>
    </w:lvl>
    <w:lvl w:ilvl="2" w:tentative="0">
      <w:start w:val="1"/>
      <w:numFmt w:val="bullet"/>
      <w:lvlText w:val=""/>
      <w:lvlJc w:val="left"/>
      <w:pPr>
        <w:ind w:left="1890" w:hanging="360"/>
      </w:pPr>
      <w:rPr>
        <w:rFonts w:hint="default" w:ascii="Wingdings" w:hAnsi="Wingdings"/>
      </w:rPr>
    </w:lvl>
    <w:lvl w:ilvl="3" w:tentative="0">
      <w:start w:val="1"/>
      <w:numFmt w:val="bullet"/>
      <w:lvlText w:val=""/>
      <w:lvlJc w:val="left"/>
      <w:pPr>
        <w:ind w:left="2610" w:hanging="360"/>
      </w:pPr>
      <w:rPr>
        <w:rFonts w:hint="default" w:ascii="Symbol" w:hAnsi="Symbol"/>
      </w:rPr>
    </w:lvl>
    <w:lvl w:ilvl="4" w:tentative="0">
      <w:start w:val="1"/>
      <w:numFmt w:val="bullet"/>
      <w:lvlText w:val="o"/>
      <w:lvlJc w:val="left"/>
      <w:pPr>
        <w:ind w:left="3330" w:hanging="360"/>
      </w:pPr>
      <w:rPr>
        <w:rFonts w:hint="default" w:ascii="Courier New" w:hAnsi="Courier New" w:cs="Courier New"/>
      </w:rPr>
    </w:lvl>
    <w:lvl w:ilvl="5" w:tentative="0">
      <w:start w:val="1"/>
      <w:numFmt w:val="bullet"/>
      <w:lvlText w:val=""/>
      <w:lvlJc w:val="left"/>
      <w:pPr>
        <w:ind w:left="4050" w:hanging="360"/>
      </w:pPr>
      <w:rPr>
        <w:rFonts w:hint="default" w:ascii="Wingdings" w:hAnsi="Wingdings"/>
      </w:rPr>
    </w:lvl>
    <w:lvl w:ilvl="6" w:tentative="0">
      <w:start w:val="1"/>
      <w:numFmt w:val="bullet"/>
      <w:lvlText w:val=""/>
      <w:lvlJc w:val="left"/>
      <w:pPr>
        <w:ind w:left="4770" w:hanging="360"/>
      </w:pPr>
      <w:rPr>
        <w:rFonts w:hint="default" w:ascii="Symbol" w:hAnsi="Symbol"/>
      </w:rPr>
    </w:lvl>
    <w:lvl w:ilvl="7" w:tentative="0">
      <w:start w:val="1"/>
      <w:numFmt w:val="bullet"/>
      <w:lvlText w:val="o"/>
      <w:lvlJc w:val="left"/>
      <w:pPr>
        <w:ind w:left="5490" w:hanging="360"/>
      </w:pPr>
      <w:rPr>
        <w:rFonts w:hint="default" w:ascii="Courier New" w:hAnsi="Courier New" w:cs="Courier New"/>
      </w:rPr>
    </w:lvl>
    <w:lvl w:ilvl="8" w:tentative="0">
      <w:start w:val="1"/>
      <w:numFmt w:val="bullet"/>
      <w:lvlText w:val=""/>
      <w:lvlJc w:val="left"/>
      <w:pPr>
        <w:ind w:left="6210" w:hanging="360"/>
      </w:pPr>
      <w:rPr>
        <w:rFonts w:hint="default" w:ascii="Wingdings" w:hAnsi="Wingdings"/>
      </w:rPr>
    </w:lvl>
  </w:abstractNum>
  <w:abstractNum w:abstractNumId="4">
    <w:nsid w:val="205B77F3"/>
    <w:multiLevelType w:val="multilevel"/>
    <w:tmpl w:val="205B77F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Calibri" w:hAnsi="Calibri"/>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Calibri" w:hAnsi="Calibri"/>
      </w:rPr>
    </w:lvl>
    <w:lvl w:ilvl="4" w:tentative="0">
      <w:start w:val="1"/>
      <w:numFmt w:val="bullet"/>
      <w:lvlText w:val="-"/>
      <w:lvlJc w:val="left"/>
      <w:pPr>
        <w:tabs>
          <w:tab w:val="left" w:pos="3600"/>
        </w:tabs>
        <w:ind w:left="3600" w:hanging="360"/>
      </w:pPr>
      <w:rPr>
        <w:rFonts w:hint="default" w:ascii="Calibri" w:hAnsi="Calibri"/>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Calibri" w:hAnsi="Calibri"/>
      </w:rPr>
    </w:lvl>
    <w:lvl w:ilvl="7" w:tentative="0">
      <w:start w:val="1"/>
      <w:numFmt w:val="bullet"/>
      <w:lvlText w:val="-"/>
      <w:lvlJc w:val="left"/>
      <w:pPr>
        <w:tabs>
          <w:tab w:val="left" w:pos="5760"/>
        </w:tabs>
        <w:ind w:left="5760" w:hanging="360"/>
      </w:pPr>
      <w:rPr>
        <w:rFonts w:hint="default" w:ascii="Calibri" w:hAnsi="Calibri"/>
      </w:rPr>
    </w:lvl>
    <w:lvl w:ilvl="8" w:tentative="0">
      <w:start w:val="1"/>
      <w:numFmt w:val="bullet"/>
      <w:lvlText w:val="-"/>
      <w:lvlJc w:val="left"/>
      <w:pPr>
        <w:tabs>
          <w:tab w:val="left" w:pos="6480"/>
        </w:tabs>
        <w:ind w:left="6480" w:hanging="360"/>
      </w:pPr>
      <w:rPr>
        <w:rFonts w:hint="default" w:ascii="Calibri" w:hAnsi="Calibri"/>
      </w:rPr>
    </w:lvl>
  </w:abstractNum>
  <w:abstractNum w:abstractNumId="5">
    <w:nsid w:val="21B60C13"/>
    <w:multiLevelType w:val="multilevel"/>
    <w:tmpl w:val="21B60C1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3843A28"/>
    <w:multiLevelType w:val="multilevel"/>
    <w:tmpl w:val="23843A28"/>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Calibri" w:hAnsi="Calibri"/>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Calibri" w:hAnsi="Calibri"/>
      </w:rPr>
    </w:lvl>
    <w:lvl w:ilvl="4" w:tentative="0">
      <w:start w:val="1"/>
      <w:numFmt w:val="bullet"/>
      <w:lvlText w:val="-"/>
      <w:lvlJc w:val="left"/>
      <w:pPr>
        <w:tabs>
          <w:tab w:val="left" w:pos="3600"/>
        </w:tabs>
        <w:ind w:left="3600" w:hanging="360"/>
      </w:pPr>
      <w:rPr>
        <w:rFonts w:hint="default" w:ascii="Calibri" w:hAnsi="Calibri"/>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Calibri" w:hAnsi="Calibri"/>
      </w:rPr>
    </w:lvl>
    <w:lvl w:ilvl="7" w:tentative="0">
      <w:start w:val="1"/>
      <w:numFmt w:val="bullet"/>
      <w:lvlText w:val="-"/>
      <w:lvlJc w:val="left"/>
      <w:pPr>
        <w:tabs>
          <w:tab w:val="left" w:pos="5760"/>
        </w:tabs>
        <w:ind w:left="5760" w:hanging="360"/>
      </w:pPr>
      <w:rPr>
        <w:rFonts w:hint="default" w:ascii="Calibri" w:hAnsi="Calibri"/>
      </w:rPr>
    </w:lvl>
    <w:lvl w:ilvl="8" w:tentative="0">
      <w:start w:val="1"/>
      <w:numFmt w:val="bullet"/>
      <w:lvlText w:val="-"/>
      <w:lvlJc w:val="left"/>
      <w:pPr>
        <w:tabs>
          <w:tab w:val="left" w:pos="6480"/>
        </w:tabs>
        <w:ind w:left="6480" w:hanging="360"/>
      </w:pPr>
      <w:rPr>
        <w:rFonts w:hint="default" w:ascii="Calibri" w:hAnsi="Calibri"/>
      </w:rPr>
    </w:lvl>
  </w:abstractNum>
  <w:abstractNum w:abstractNumId="7">
    <w:nsid w:val="536D3208"/>
    <w:multiLevelType w:val="multilevel"/>
    <w:tmpl w:val="536D320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7D95C7C"/>
    <w:multiLevelType w:val="multilevel"/>
    <w:tmpl w:val="57D95C7C"/>
    <w:lvl w:ilvl="0" w:tentative="0">
      <w:start w:val="1"/>
      <w:numFmt w:val="upp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9B057E5"/>
    <w:multiLevelType w:val="multilevel"/>
    <w:tmpl w:val="69B057E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10B12AF"/>
    <w:multiLevelType w:val="multilevel"/>
    <w:tmpl w:val="710B12AF"/>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7AA0F5B"/>
    <w:multiLevelType w:val="multilevel"/>
    <w:tmpl w:val="77AA0F5B"/>
    <w:lvl w:ilvl="0" w:tentative="0">
      <w:start w:val="1"/>
      <w:numFmt w:val="bullet"/>
      <w:lvlText w:val=""/>
      <w:lvlJc w:val="left"/>
      <w:pPr>
        <w:ind w:left="709" w:hanging="360"/>
      </w:pPr>
      <w:rPr>
        <w:rFonts w:hint="default" w:ascii="Wingdings" w:hAnsi="Wingdings"/>
      </w:rPr>
    </w:lvl>
    <w:lvl w:ilvl="1" w:tentative="0">
      <w:start w:val="1"/>
      <w:numFmt w:val="bullet"/>
      <w:lvlText w:val="o"/>
      <w:lvlJc w:val="left"/>
      <w:pPr>
        <w:ind w:left="1429" w:hanging="360"/>
      </w:pPr>
      <w:rPr>
        <w:rFonts w:hint="default" w:ascii="Courier New" w:hAnsi="Courier New" w:cs="Courier New"/>
      </w:rPr>
    </w:lvl>
    <w:lvl w:ilvl="2" w:tentative="0">
      <w:start w:val="1"/>
      <w:numFmt w:val="bullet"/>
      <w:lvlText w:val=""/>
      <w:lvlJc w:val="left"/>
      <w:pPr>
        <w:ind w:left="2149" w:hanging="360"/>
      </w:pPr>
      <w:rPr>
        <w:rFonts w:hint="default" w:ascii="Wingdings" w:hAnsi="Wingdings"/>
      </w:rPr>
    </w:lvl>
    <w:lvl w:ilvl="3" w:tentative="0">
      <w:start w:val="1"/>
      <w:numFmt w:val="bullet"/>
      <w:lvlText w:val=""/>
      <w:lvlJc w:val="left"/>
      <w:pPr>
        <w:ind w:left="2869" w:hanging="360"/>
      </w:pPr>
      <w:rPr>
        <w:rFonts w:hint="default" w:ascii="Symbol" w:hAnsi="Symbol"/>
      </w:rPr>
    </w:lvl>
    <w:lvl w:ilvl="4" w:tentative="0">
      <w:start w:val="1"/>
      <w:numFmt w:val="bullet"/>
      <w:lvlText w:val="o"/>
      <w:lvlJc w:val="left"/>
      <w:pPr>
        <w:ind w:left="3589" w:hanging="360"/>
      </w:pPr>
      <w:rPr>
        <w:rFonts w:hint="default" w:ascii="Courier New" w:hAnsi="Courier New" w:cs="Courier New"/>
      </w:rPr>
    </w:lvl>
    <w:lvl w:ilvl="5" w:tentative="0">
      <w:start w:val="1"/>
      <w:numFmt w:val="bullet"/>
      <w:lvlText w:val=""/>
      <w:lvlJc w:val="left"/>
      <w:pPr>
        <w:ind w:left="4309" w:hanging="360"/>
      </w:pPr>
      <w:rPr>
        <w:rFonts w:hint="default" w:ascii="Wingdings" w:hAnsi="Wingdings"/>
      </w:rPr>
    </w:lvl>
    <w:lvl w:ilvl="6" w:tentative="0">
      <w:start w:val="1"/>
      <w:numFmt w:val="bullet"/>
      <w:lvlText w:val=""/>
      <w:lvlJc w:val="left"/>
      <w:pPr>
        <w:ind w:left="5029" w:hanging="360"/>
      </w:pPr>
      <w:rPr>
        <w:rFonts w:hint="default" w:ascii="Symbol" w:hAnsi="Symbol"/>
      </w:rPr>
    </w:lvl>
    <w:lvl w:ilvl="7" w:tentative="0">
      <w:start w:val="1"/>
      <w:numFmt w:val="bullet"/>
      <w:lvlText w:val="o"/>
      <w:lvlJc w:val="left"/>
      <w:pPr>
        <w:ind w:left="5749" w:hanging="360"/>
      </w:pPr>
      <w:rPr>
        <w:rFonts w:hint="default" w:ascii="Courier New" w:hAnsi="Courier New" w:cs="Courier New"/>
      </w:rPr>
    </w:lvl>
    <w:lvl w:ilvl="8" w:tentative="0">
      <w:start w:val="1"/>
      <w:numFmt w:val="bullet"/>
      <w:lvlText w:val=""/>
      <w:lvlJc w:val="left"/>
      <w:pPr>
        <w:ind w:left="6469" w:hanging="360"/>
      </w:pPr>
      <w:rPr>
        <w:rFonts w:hint="default" w:ascii="Wingdings" w:hAnsi="Wingdings"/>
      </w:rPr>
    </w:lvl>
  </w:abstractNum>
  <w:abstractNum w:abstractNumId="12">
    <w:nsid w:val="784A6E0D"/>
    <w:multiLevelType w:val="multilevel"/>
    <w:tmpl w:val="784A6E0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BD31161"/>
    <w:multiLevelType w:val="multilevel"/>
    <w:tmpl w:val="7BD3116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10"/>
  </w:num>
  <w:num w:numId="3">
    <w:abstractNumId w:val="1"/>
  </w:num>
  <w:num w:numId="4">
    <w:abstractNumId w:val="6"/>
  </w:num>
  <w:num w:numId="5">
    <w:abstractNumId w:val="4"/>
  </w:num>
  <w:num w:numId="6">
    <w:abstractNumId w:val="5"/>
  </w:num>
  <w:num w:numId="7">
    <w:abstractNumId w:val="7"/>
  </w:num>
  <w:num w:numId="8">
    <w:abstractNumId w:val="12"/>
  </w:num>
  <w:num w:numId="9">
    <w:abstractNumId w:val="9"/>
  </w:num>
  <w:num w:numId="10">
    <w:abstractNumId w:val="2"/>
  </w:num>
  <w:num w:numId="11">
    <w:abstractNumId w:val="13"/>
  </w:num>
  <w:num w:numId="12">
    <w:abstractNumId w:val="11"/>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FC9"/>
    <w:rsid w:val="0000630C"/>
    <w:rsid w:val="00023F85"/>
    <w:rsid w:val="0003633B"/>
    <w:rsid w:val="00036F1A"/>
    <w:rsid w:val="0004419B"/>
    <w:rsid w:val="00066AC6"/>
    <w:rsid w:val="00073E65"/>
    <w:rsid w:val="0008700C"/>
    <w:rsid w:val="00090C97"/>
    <w:rsid w:val="000B0861"/>
    <w:rsid w:val="000B446F"/>
    <w:rsid w:val="000C1DC2"/>
    <w:rsid w:val="000F204D"/>
    <w:rsid w:val="0010066B"/>
    <w:rsid w:val="00101DD7"/>
    <w:rsid w:val="0012051F"/>
    <w:rsid w:val="00151300"/>
    <w:rsid w:val="001519A7"/>
    <w:rsid w:val="001568E0"/>
    <w:rsid w:val="00175E1D"/>
    <w:rsid w:val="00191045"/>
    <w:rsid w:val="001974BA"/>
    <w:rsid w:val="001A05F2"/>
    <w:rsid w:val="001A467D"/>
    <w:rsid w:val="001A5CC0"/>
    <w:rsid w:val="001B0AE2"/>
    <w:rsid w:val="001B3987"/>
    <w:rsid w:val="001B7B41"/>
    <w:rsid w:val="001D7B36"/>
    <w:rsid w:val="001E0AC4"/>
    <w:rsid w:val="001F0F69"/>
    <w:rsid w:val="002001BE"/>
    <w:rsid w:val="002002BB"/>
    <w:rsid w:val="00217F69"/>
    <w:rsid w:val="00220225"/>
    <w:rsid w:val="002406E1"/>
    <w:rsid w:val="0024663F"/>
    <w:rsid w:val="002521FE"/>
    <w:rsid w:val="00252B11"/>
    <w:rsid w:val="002632D4"/>
    <w:rsid w:val="00270F82"/>
    <w:rsid w:val="00280417"/>
    <w:rsid w:val="002B59A1"/>
    <w:rsid w:val="002C130C"/>
    <w:rsid w:val="002E445E"/>
    <w:rsid w:val="002E52D6"/>
    <w:rsid w:val="00300B80"/>
    <w:rsid w:val="003249EB"/>
    <w:rsid w:val="00334803"/>
    <w:rsid w:val="003358B2"/>
    <w:rsid w:val="00350C63"/>
    <w:rsid w:val="00385B0A"/>
    <w:rsid w:val="003940A7"/>
    <w:rsid w:val="003A3C36"/>
    <w:rsid w:val="003A770F"/>
    <w:rsid w:val="003B5803"/>
    <w:rsid w:val="003E07F2"/>
    <w:rsid w:val="003F1C08"/>
    <w:rsid w:val="004177DC"/>
    <w:rsid w:val="0042426E"/>
    <w:rsid w:val="00427F1C"/>
    <w:rsid w:val="00430E59"/>
    <w:rsid w:val="00431AFA"/>
    <w:rsid w:val="00431BF7"/>
    <w:rsid w:val="00442E4F"/>
    <w:rsid w:val="004474DB"/>
    <w:rsid w:val="0044799E"/>
    <w:rsid w:val="004505D0"/>
    <w:rsid w:val="00471965"/>
    <w:rsid w:val="004843BF"/>
    <w:rsid w:val="004A0B83"/>
    <w:rsid w:val="004C41DF"/>
    <w:rsid w:val="004C69B8"/>
    <w:rsid w:val="004E732B"/>
    <w:rsid w:val="004E79D6"/>
    <w:rsid w:val="004F111D"/>
    <w:rsid w:val="005001BB"/>
    <w:rsid w:val="00513668"/>
    <w:rsid w:val="00537DB1"/>
    <w:rsid w:val="00550A10"/>
    <w:rsid w:val="00556DC2"/>
    <w:rsid w:val="00567EC0"/>
    <w:rsid w:val="00573923"/>
    <w:rsid w:val="005A0DAA"/>
    <w:rsid w:val="005A37A9"/>
    <w:rsid w:val="005A6C06"/>
    <w:rsid w:val="005B28F4"/>
    <w:rsid w:val="005B2DE4"/>
    <w:rsid w:val="005C1560"/>
    <w:rsid w:val="005C385F"/>
    <w:rsid w:val="005E62F1"/>
    <w:rsid w:val="0061112C"/>
    <w:rsid w:val="0062124E"/>
    <w:rsid w:val="00626E32"/>
    <w:rsid w:val="006457FF"/>
    <w:rsid w:val="00667065"/>
    <w:rsid w:val="00676048"/>
    <w:rsid w:val="006806A2"/>
    <w:rsid w:val="0068230F"/>
    <w:rsid w:val="006940DD"/>
    <w:rsid w:val="006A231E"/>
    <w:rsid w:val="006C3127"/>
    <w:rsid w:val="006F26FA"/>
    <w:rsid w:val="00744970"/>
    <w:rsid w:val="007528AA"/>
    <w:rsid w:val="00764EE0"/>
    <w:rsid w:val="007658B6"/>
    <w:rsid w:val="00765F99"/>
    <w:rsid w:val="00780E4C"/>
    <w:rsid w:val="0078186B"/>
    <w:rsid w:val="00787BE3"/>
    <w:rsid w:val="00795BEB"/>
    <w:rsid w:val="007A19BD"/>
    <w:rsid w:val="007A35ED"/>
    <w:rsid w:val="007B502E"/>
    <w:rsid w:val="007B5F5A"/>
    <w:rsid w:val="007C790F"/>
    <w:rsid w:val="007E61DA"/>
    <w:rsid w:val="007E766C"/>
    <w:rsid w:val="00822611"/>
    <w:rsid w:val="00831AB0"/>
    <w:rsid w:val="00832896"/>
    <w:rsid w:val="00832D6E"/>
    <w:rsid w:val="0084165C"/>
    <w:rsid w:val="0084315D"/>
    <w:rsid w:val="00846F8A"/>
    <w:rsid w:val="0086275A"/>
    <w:rsid w:val="008635F9"/>
    <w:rsid w:val="00873598"/>
    <w:rsid w:val="00874D45"/>
    <w:rsid w:val="00886195"/>
    <w:rsid w:val="00887256"/>
    <w:rsid w:val="008B1964"/>
    <w:rsid w:val="008B364B"/>
    <w:rsid w:val="008C7EF5"/>
    <w:rsid w:val="008D4CE4"/>
    <w:rsid w:val="008E2C47"/>
    <w:rsid w:val="009129C5"/>
    <w:rsid w:val="00944286"/>
    <w:rsid w:val="00952882"/>
    <w:rsid w:val="0095693F"/>
    <w:rsid w:val="00976D0F"/>
    <w:rsid w:val="00985B4A"/>
    <w:rsid w:val="00994077"/>
    <w:rsid w:val="00994A0C"/>
    <w:rsid w:val="00997DB7"/>
    <w:rsid w:val="009A082D"/>
    <w:rsid w:val="009C7FAD"/>
    <w:rsid w:val="009D054C"/>
    <w:rsid w:val="009E47FB"/>
    <w:rsid w:val="00A1058B"/>
    <w:rsid w:val="00A10B8E"/>
    <w:rsid w:val="00A1319F"/>
    <w:rsid w:val="00A147C1"/>
    <w:rsid w:val="00A475D8"/>
    <w:rsid w:val="00A51713"/>
    <w:rsid w:val="00A54B5B"/>
    <w:rsid w:val="00A62B02"/>
    <w:rsid w:val="00A6555C"/>
    <w:rsid w:val="00A658D4"/>
    <w:rsid w:val="00A8027E"/>
    <w:rsid w:val="00A816DF"/>
    <w:rsid w:val="00A83FD2"/>
    <w:rsid w:val="00A91C3D"/>
    <w:rsid w:val="00AB1FC8"/>
    <w:rsid w:val="00AB6202"/>
    <w:rsid w:val="00AB7A8E"/>
    <w:rsid w:val="00AD1FF3"/>
    <w:rsid w:val="00AE283F"/>
    <w:rsid w:val="00B13C77"/>
    <w:rsid w:val="00B148ED"/>
    <w:rsid w:val="00B15E9D"/>
    <w:rsid w:val="00B1669D"/>
    <w:rsid w:val="00B21DEE"/>
    <w:rsid w:val="00B22CCB"/>
    <w:rsid w:val="00B2309E"/>
    <w:rsid w:val="00B3255D"/>
    <w:rsid w:val="00B535FC"/>
    <w:rsid w:val="00B751C2"/>
    <w:rsid w:val="00B9043E"/>
    <w:rsid w:val="00B93913"/>
    <w:rsid w:val="00BA4FD0"/>
    <w:rsid w:val="00BA6EBB"/>
    <w:rsid w:val="00BD3FDB"/>
    <w:rsid w:val="00C04389"/>
    <w:rsid w:val="00C13C7C"/>
    <w:rsid w:val="00C16C67"/>
    <w:rsid w:val="00C25496"/>
    <w:rsid w:val="00C36944"/>
    <w:rsid w:val="00C52E9D"/>
    <w:rsid w:val="00C62D25"/>
    <w:rsid w:val="00C72462"/>
    <w:rsid w:val="00C7473C"/>
    <w:rsid w:val="00C8147D"/>
    <w:rsid w:val="00C82491"/>
    <w:rsid w:val="00C84004"/>
    <w:rsid w:val="00C93487"/>
    <w:rsid w:val="00CA7F64"/>
    <w:rsid w:val="00CE583A"/>
    <w:rsid w:val="00CE7D1A"/>
    <w:rsid w:val="00CF0B19"/>
    <w:rsid w:val="00CF2885"/>
    <w:rsid w:val="00CF5F31"/>
    <w:rsid w:val="00D13143"/>
    <w:rsid w:val="00D2258F"/>
    <w:rsid w:val="00D23EA0"/>
    <w:rsid w:val="00D31B30"/>
    <w:rsid w:val="00D32B39"/>
    <w:rsid w:val="00D67FAE"/>
    <w:rsid w:val="00D75EBE"/>
    <w:rsid w:val="00D84578"/>
    <w:rsid w:val="00D957BF"/>
    <w:rsid w:val="00DA515E"/>
    <w:rsid w:val="00DA559C"/>
    <w:rsid w:val="00DA7520"/>
    <w:rsid w:val="00DB4894"/>
    <w:rsid w:val="00DC3CAB"/>
    <w:rsid w:val="00DD2A7C"/>
    <w:rsid w:val="00DE410D"/>
    <w:rsid w:val="00DE7AB4"/>
    <w:rsid w:val="00E14F67"/>
    <w:rsid w:val="00E20F39"/>
    <w:rsid w:val="00E22C0E"/>
    <w:rsid w:val="00E32ECA"/>
    <w:rsid w:val="00E379BE"/>
    <w:rsid w:val="00E40C55"/>
    <w:rsid w:val="00E455C6"/>
    <w:rsid w:val="00E61E7E"/>
    <w:rsid w:val="00E823C7"/>
    <w:rsid w:val="00E90BC0"/>
    <w:rsid w:val="00E949A9"/>
    <w:rsid w:val="00EB52A5"/>
    <w:rsid w:val="00EC1870"/>
    <w:rsid w:val="00EC3DFE"/>
    <w:rsid w:val="00EF59F6"/>
    <w:rsid w:val="00F05A86"/>
    <w:rsid w:val="00F251C3"/>
    <w:rsid w:val="00F25777"/>
    <w:rsid w:val="00F3765F"/>
    <w:rsid w:val="00F671AA"/>
    <w:rsid w:val="00FA105A"/>
    <w:rsid w:val="00FA3D98"/>
    <w:rsid w:val="00FA766F"/>
    <w:rsid w:val="00FB3597"/>
    <w:rsid w:val="00FC0FC9"/>
    <w:rsid w:val="00FC311B"/>
    <w:rsid w:val="00FC6F9E"/>
    <w:rsid w:val="00FD3A44"/>
    <w:rsid w:val="00FD704C"/>
    <w:rsid w:val="0BD202A0"/>
    <w:rsid w:val="691C47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uiPriority w:val="99"/>
    <w:rPr>
      <w:sz w:val="16"/>
      <w:szCs w:val="16"/>
    </w:rPr>
  </w:style>
  <w:style w:type="paragraph" w:styleId="14">
    <w:name w:val="annotation text"/>
    <w:basedOn w:val="1"/>
    <w:link w:val="42"/>
    <w:semiHidden/>
    <w:unhideWhenUsed/>
    <w:uiPriority w:val="99"/>
    <w:pPr>
      <w:spacing w:line="240" w:lineRule="auto"/>
    </w:pPr>
    <w:rPr>
      <w:sz w:val="20"/>
      <w:szCs w:val="20"/>
    </w:rPr>
  </w:style>
  <w:style w:type="paragraph" w:styleId="15">
    <w:name w:val="annotation subject"/>
    <w:basedOn w:val="14"/>
    <w:next w:val="14"/>
    <w:link w:val="43"/>
    <w:semiHidden/>
    <w:unhideWhenUsed/>
    <w:uiPriority w:val="99"/>
    <w:rPr>
      <w:b/>
      <w:bCs/>
    </w:rPr>
  </w:style>
  <w:style w:type="paragraph" w:styleId="16">
    <w:name w:val="footer"/>
    <w:basedOn w:val="1"/>
    <w:link w:val="40"/>
    <w:unhideWhenUsed/>
    <w:uiPriority w:val="99"/>
    <w:pPr>
      <w:tabs>
        <w:tab w:val="center" w:pos="4513"/>
        <w:tab w:val="right" w:pos="9026"/>
      </w:tabs>
      <w:spacing w:after="0" w:line="240" w:lineRule="auto"/>
    </w:pPr>
  </w:style>
  <w:style w:type="paragraph" w:styleId="17">
    <w:name w:val="header"/>
    <w:basedOn w:val="1"/>
    <w:link w:val="39"/>
    <w:unhideWhenUsed/>
    <w:qFormat/>
    <w:uiPriority w:val="99"/>
    <w:pPr>
      <w:tabs>
        <w:tab w:val="center" w:pos="4513"/>
        <w:tab w:val="right" w:pos="9026"/>
      </w:tabs>
      <w:spacing w:after="0" w:line="240" w:lineRule="auto"/>
    </w:pPr>
  </w:style>
  <w:style w:type="character" w:styleId="18">
    <w:name w:val="Hyperlink"/>
    <w:basedOn w:val="11"/>
    <w:unhideWhenUsed/>
    <w:uiPriority w:val="99"/>
    <w:rPr>
      <w:color w:val="0563C1" w:themeColor="hyperlink"/>
      <w:u w:val="single"/>
      <w14:textFill>
        <w14:solidFill>
          <w14:schemeClr w14:val="hlink"/>
        </w14:solidFill>
      </w14:textFill>
    </w:rPr>
  </w:style>
  <w:style w:type="paragraph" w:styleId="19">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Heading 3 Char"/>
    <w:basedOn w:val="11"/>
    <w:link w:val="4"/>
    <w:semiHidden/>
    <w:uiPriority w:val="9"/>
    <w:rPr>
      <w:rFonts w:eastAsiaTheme="majorEastAsia" w:cstheme="majorBidi"/>
      <w:color w:val="2F5597" w:themeColor="accent1" w:themeShade="BF"/>
      <w:sz w:val="28"/>
      <w:szCs w:val="28"/>
    </w:rPr>
  </w:style>
  <w:style w:type="character" w:customStyle="1" w:styleId="24">
    <w:name w:val="Heading 4 Char"/>
    <w:basedOn w:val="11"/>
    <w:link w:val="5"/>
    <w:semiHidden/>
    <w:uiPriority w:val="9"/>
    <w:rPr>
      <w:rFonts w:eastAsiaTheme="majorEastAsia" w:cstheme="majorBidi"/>
      <w:i/>
      <w:iCs/>
      <w:color w:val="2F5597" w:themeColor="accent1" w:themeShade="BF"/>
    </w:rPr>
  </w:style>
  <w:style w:type="character" w:customStyle="1" w:styleId="25">
    <w:name w:val="Heading 5 Char"/>
    <w:basedOn w:val="11"/>
    <w:link w:val="6"/>
    <w:semiHidden/>
    <w:uiPriority w:val="9"/>
    <w:rPr>
      <w:rFonts w:eastAsiaTheme="majorEastAsia" w:cstheme="majorBidi"/>
      <w:color w:val="2F5597" w:themeColor="accent1" w:themeShade="BF"/>
    </w:rPr>
  </w:style>
  <w:style w:type="character" w:customStyle="1" w:styleId="26">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9"/>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Intense Quote Char"/>
    <w:basedOn w:val="11"/>
    <w:link w:val="36"/>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character" w:customStyle="1" w:styleId="39">
    <w:name w:val="Header Char"/>
    <w:basedOn w:val="11"/>
    <w:link w:val="17"/>
    <w:uiPriority w:val="99"/>
  </w:style>
  <w:style w:type="character" w:customStyle="1" w:styleId="40">
    <w:name w:val="Footer Char"/>
    <w:basedOn w:val="11"/>
    <w:link w:val="16"/>
    <w:uiPriority w:val="99"/>
  </w:style>
  <w:style w:type="character" w:customStyle="1" w:styleId="41">
    <w:name w:val="Unresolved Mention"/>
    <w:basedOn w:val="11"/>
    <w:semiHidden/>
    <w:unhideWhenUsed/>
    <w:uiPriority w:val="99"/>
    <w:rPr>
      <w:color w:val="605E5C"/>
      <w:shd w:val="clear" w:color="auto" w:fill="E1DFDD"/>
    </w:rPr>
  </w:style>
  <w:style w:type="character" w:customStyle="1" w:styleId="42">
    <w:name w:val="Comment Text Char"/>
    <w:basedOn w:val="11"/>
    <w:link w:val="14"/>
    <w:semiHidden/>
    <w:uiPriority w:val="99"/>
    <w:rPr>
      <w:sz w:val="20"/>
      <w:szCs w:val="20"/>
    </w:rPr>
  </w:style>
  <w:style w:type="character" w:customStyle="1" w:styleId="43">
    <w:name w:val="Comment Subject Char"/>
    <w:basedOn w:val="42"/>
    <w:link w:val="15"/>
    <w:semiHidden/>
    <w:uiPriority w:val="99"/>
    <w:rPr>
      <w:b/>
      <w:bCs/>
      <w:sz w:val="20"/>
      <w:szCs w:val="20"/>
    </w:rPr>
  </w:style>
  <w:style w:type="character" w:customStyle="1" w:styleId="44">
    <w:name w:val="bumpedfont15"/>
    <w:basedOn w:val="11"/>
    <w:uiPriority w:val="0"/>
  </w:style>
  <w:style w:type="character" w:customStyle="1" w:styleId="45">
    <w:name w:val="apple-converted-space"/>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CD2F-FDAF-4464-8214-9D899FF79383}">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4350</Words>
  <Characters>25322</Characters>
  <Lines>460</Lines>
  <Paragraphs>149</Paragraphs>
  <TotalTime>386</TotalTime>
  <ScaleCrop>false</ScaleCrop>
  <LinksUpToDate>false</LinksUpToDate>
  <CharactersWithSpaces>29523</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2025-04-13T23:30:00Z</dcterms:created>
  <dc:creator>Sarah Simons</dc:creator>
  <cp:lastModifiedBy>ifeoma uzoefuna</cp:lastModifiedBy>
  <dcterms:modified xsi:type="dcterms:W3CDTF">2025-04-18T09:57:42Z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25aca0b7-7e23-4997-acda-e385944b6ee7</vt:lpwstr>
  </property>
  <property fmtid="{D5CDD505-2E9C-101B-9397-08002B2CF9AE}" pid="3" name="KSOProductBuildVer">
    <vt:lpwstr>1033-12.2.0.20795</vt:lpwstr>
  </property>
  <property fmtid="{D5CDD505-2E9C-101B-9397-08002B2CF9AE}" pid="4" name="ICV">
    <vt:lpwstr>694C065B8CC04FD7A9027EE1390646E9_13</vt:lpwstr>
  </property>
</Properties>
</file>