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F0ACF">
      <w:pPr>
        <w:spacing w:after="0" w:line="360" w:lineRule="auto"/>
        <w:jc w:val="center"/>
        <w:rPr>
          <w:rFonts w:ascii="Times New Roman" w:hAnsi="Times New Roman" w:cs="Times New Roman"/>
          <w:b/>
          <w:sz w:val="28"/>
          <w:szCs w:val="28"/>
          <w:u w:val="single"/>
        </w:rPr>
      </w:pPr>
      <w:bookmarkStart w:id="0" w:name="_GoBack"/>
      <w:r>
        <w:rPr>
          <w:rFonts w:ascii="Times New Roman" w:hAnsi="Times New Roman" w:cs="Times New Roman"/>
          <w:b/>
          <w:sz w:val="28"/>
          <w:szCs w:val="28"/>
          <w:u w:val="single"/>
        </w:rPr>
        <w:t>UNDERSTANDING JUDICIAL EFFICIENCY THROUGH LEGAL RESEARCH AND INNOVATION</w:t>
      </w:r>
      <w:bookmarkEnd w:id="0"/>
      <w:r>
        <w:rPr>
          <w:rFonts w:ascii="Times New Roman" w:hAnsi="Times New Roman" w:cs="Times New Roman"/>
          <w:b/>
          <w:sz w:val="28"/>
          <w:szCs w:val="28"/>
          <w:u w:val="single"/>
        </w:rPr>
        <w:t>, A PAPER PRESENTED BY HON. JUSTICE A.N. AWULU AT THE NATIONAL WORKSHOP FOR LEGAL RESEARCH ASSISTANTS FROM 28</w:t>
      </w:r>
      <w:r>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-30</w:t>
      </w:r>
      <w:r>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JULY, 2025.</w:t>
      </w:r>
    </w:p>
    <w:p w14:paraId="778824D3">
      <w:pPr>
        <w:spacing w:line="360" w:lineRule="auto"/>
        <w:rPr>
          <w:rFonts w:ascii="Times New Roman" w:hAnsi="Times New Roman" w:cs="Times New Roman"/>
          <w:b/>
          <w:sz w:val="2"/>
          <w:szCs w:val="28"/>
          <w:u w:val="single"/>
        </w:rPr>
      </w:pPr>
    </w:p>
    <w:p w14:paraId="3670B2A6">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PROTOCOL</w:t>
      </w:r>
    </w:p>
    <w:p w14:paraId="2ED7DF00">
      <w:pPr>
        <w:spacing w:line="360" w:lineRule="auto"/>
        <w:jc w:val="both"/>
        <w:rPr>
          <w:rFonts w:ascii="Times New Roman" w:hAnsi="Times New Roman" w:cs="Times New Roman"/>
          <w:sz w:val="28"/>
          <w:szCs w:val="28"/>
        </w:rPr>
      </w:pPr>
      <w:r>
        <w:rPr>
          <w:rFonts w:ascii="Times New Roman" w:hAnsi="Times New Roman" w:cs="Times New Roman"/>
          <w:sz w:val="28"/>
          <w:szCs w:val="28"/>
        </w:rPr>
        <w:t>When my Chief Judge informed me that the National Judicial Institute had sent him a notification of its invitation to me to present a paper at this workshop, I was elated. One may question my elation at being invited to deliver a paper at a workshop for Legal Research Assistants. I have my reason which I will share with you here and now. I was appointed a Judge of the Kogi State High Court on 28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December, 2005 and sworn in on 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January, 2006. Thus, I have nineteen solid years behind me since my appointment. Since then, I have attended several workshops, courses, conferences, seminars etc organized by or in collaboration with the Institute. But in all of these, I have never sat on the podium. I have always been a participant and not a resource person/paper presenter, a discussant or in any other capacity. Thus, the opportunity to sit and face the participants while presenting a paper at this prestigious Institute cannot be taken for granted. That is why I must appreciate the Chairman of the Board of Governors of the  Institute and Chief Justice of Nigeria Hon. Justice K.M.O. Kekere-Ekun, GCON for approving that I be invited to present a paper at this workshop. In like manner, I profoundly appreciate the Administrator of the Institute, Hon. Justice Salisu Garba Abdullahi for extending the invitation to me. If any other person was involved in selecting me, I also appreciate him or her. </w:t>
      </w:r>
    </w:p>
    <w:p w14:paraId="1852084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 must not fail to express my gratitude to my Chief Judge, Hon. Justice J.J. Majebi for his kind approval and releasing me to be here to present a paper. I am not unmindful that he has the discretion to either approve or refuse that I attend the workshop in this capacity. </w:t>
      </w:r>
    </w:p>
    <w:p w14:paraId="4227FFDB">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Now, to the reason why I am here. The theme of the workshop is </w:t>
      </w:r>
      <w:r>
        <w:rPr>
          <w:rFonts w:ascii="Times New Roman" w:hAnsi="Times New Roman" w:cs="Times New Roman"/>
          <w:b/>
          <w:sz w:val="28"/>
          <w:szCs w:val="28"/>
        </w:rPr>
        <w:t>“Enhancing Judiciary Efficiency through Legal Research and innovation”. My paper is on Understanding Legal Decisions: Interpreting and Reporting on Judicial opinions and Rulings”.</w:t>
      </w:r>
      <w:r>
        <w:rPr>
          <w:rFonts w:ascii="Times New Roman" w:hAnsi="Times New Roman" w:cs="Times New Roman"/>
          <w:sz w:val="28"/>
          <w:szCs w:val="28"/>
        </w:rPr>
        <w:t xml:space="preserve"> Before, I delve into my topic, it is apt that a brief discussion on the theme be made. The word </w:t>
      </w:r>
      <w:r>
        <w:rPr>
          <w:rFonts w:ascii="Times New Roman" w:hAnsi="Times New Roman" w:cs="Times New Roman"/>
          <w:b/>
          <w:sz w:val="28"/>
          <w:szCs w:val="28"/>
        </w:rPr>
        <w:t xml:space="preserve">“enhance” </w:t>
      </w:r>
      <w:r>
        <w:rPr>
          <w:rFonts w:ascii="Times New Roman" w:hAnsi="Times New Roman" w:cs="Times New Roman"/>
          <w:sz w:val="28"/>
          <w:szCs w:val="28"/>
        </w:rPr>
        <w:t xml:space="preserve">means </w:t>
      </w:r>
      <w:r>
        <w:rPr>
          <w:rFonts w:ascii="Times New Roman" w:hAnsi="Times New Roman" w:cs="Times New Roman"/>
          <w:b/>
          <w:sz w:val="28"/>
          <w:szCs w:val="28"/>
        </w:rPr>
        <w:t xml:space="preserve">“to increase or improve in value, quality, desirability or attractiveness” </w:t>
      </w:r>
      <w:r>
        <w:rPr>
          <w:rFonts w:ascii="Times New Roman" w:hAnsi="Times New Roman" w:cs="Times New Roman"/>
          <w:sz w:val="28"/>
          <w:szCs w:val="28"/>
        </w:rPr>
        <w:t xml:space="preserve">see Webster online English Dictionary. Thus enhancing Judiciary Efficiency through Legal Research and innovation is simply to improve or increase the quality and attractiveness of judicial decisions, be it a judgment or a ruling so as to make the Courts more attractive to the public. The organizers could have also used words like amplifying, deepening or magnifying  etc in place of enhancing. Therefore, the workshop  is about making the decisions of Courts in whatever form more attractive through the improvements thereon. There is no gainsaying the fact that every human act must be continuously improved upon otherwise the quality will depreciate and become less attractive. For the judiciary, there must be conscious efforts geared towards improving the quality because once it becomes unattractive or less  attractive, the implications will be grave. If nothing else, anarchy will set it. Aside that, lawyers will have to find alternative sources of income. Iam not sure if more judges will be appointed with reduced number of cases owing to lack of confidence in the Court. </w:t>
      </w:r>
    </w:p>
    <w:p w14:paraId="07E97B9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this paper, I have tried, as requested by the organizers, to discuss </w:t>
      </w:r>
    </w:p>
    <w:p w14:paraId="328EEED7">
      <w:pPr>
        <w:pStyle w:val="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structure and content of a judicial decision </w:t>
      </w:r>
    </w:p>
    <w:p w14:paraId="784C5704">
      <w:pPr>
        <w:pStyle w:val="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Role of judges in interpreting law and making decisions that shape the Legal landscape </w:t>
      </w:r>
    </w:p>
    <w:p w14:paraId="348C0805">
      <w:pPr>
        <w:pStyle w:val="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will Identify the key holdings in a judgment that I delivered and </w:t>
      </w:r>
    </w:p>
    <w:p w14:paraId="088762B2">
      <w:pPr>
        <w:pStyle w:val="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Analyze the reasoning </w:t>
      </w:r>
    </w:p>
    <w:p w14:paraId="22303E17">
      <w:pPr>
        <w:pStyle w:val="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Discuss the implication of a judicial decision on law and future cases</w:t>
      </w:r>
    </w:p>
    <w:p w14:paraId="48018CC4">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(i)  THE STRUCTURE AND CONTENT OF A JUDGMENT</w:t>
      </w:r>
    </w:p>
    <w:p w14:paraId="6F36CA2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Every judgment is the opinion of the Court on a dispute between parties. The person who approaches the Court for a remedy files the originating process appropriate to his complaints. Therein, he sets out the facts he is relying on and the evidence that he will be presenting to the Court. The defendant, if he is denying the claim, will set out his/her defence in a manner that will bring out facts that will rebut the case of the claimant. Thus, the commencement of a judgment is usually the introduction. This will contain what lead to the institution of the case. The nature of the case, whether a claim for declaration of title to land, breach of contract, Fundamental Rights Enforcement, culpable homicide, rape etc. When I write the introduction in my judgment, but not necessarily calling it so, I will state the number of witnesses called on both sides and the exhibits if any tendered by both sides. Of-course, the facts established by both sides will be known through the evidence, both documentary and oral. I do not need to remind you that only relevant facts will weigh on the mind of the Court. Thus, in a claim for declaration of title to land, the claimant must bring in facts as to his root of title, the identity of the land, boundaries etc. The defendant, if he counter-claims does likewise. If it is a chieftaincy matter, facts such as ruling house(s) entitled, the rotational order, candidacy and recommendations will be pleaded. The Court will, while considering the judgment critically examine the facts led on both sides. The Court should make some findings from the facts put toward. These will include the reliefs as sought but in the manner the Court believes will meet the Justice of the case. If on the other hand, the holdings are to the effect that the relevant facts were not proved, the Court will simply dismiss the suit. </w:t>
      </w:r>
    </w:p>
    <w:p w14:paraId="43EDDA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What I have dealt with above relates principally to civil cases. In a criminal case, the introduction of the judgment will capture the charge or heads of charge, the number of witnesses called and Exhibits tendered. The facts will show what offence was committed, when and where. The evidence from the prosecution must prove the quit of the defendant beyond reasonable doubt as  required by S.135(1) of the Evidence Act, 2011 (as amended). After the evidence both for the prosecution and in defence, counsel will address the Court. Thereafter the Court makes findings as to whether ingredients of the particular offence have been proved. Once the ingredients have been proved beyond reasonable doubt, the charge has been proved. See Smart v State. (2016) LPELR-40827 (sc). It is required that a Court should give reason or reasons for its findings or holdings. Of-course, a finding cannot be in vacuo. Indeed, once the facts to be proved are known, the reasons will necessarily be that the facts were proved which will entitle the party to the judgment of the Court while failure to prove same will result in a dismissal. </w:t>
      </w:r>
    </w:p>
    <w:p w14:paraId="61331AF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conclusion of a judgment becomes predictable from the holdings by the Court. The Court will at this stage peruse the reliefs as contained in the statement of claim in a civil case and decide on which ones to grant. The conclusion in a criminal case is that the trial Court will convict a defendant to a criminal charge upon holding that the offence was proved while such defendant will be acquitted if there is a holding that the charge was not proved. If there is a conviction, the </w:t>
      </w:r>
      <w:r>
        <w:rPr>
          <w:rFonts w:ascii="Times New Roman" w:hAnsi="Times New Roman" w:cs="Times New Roman"/>
          <w:sz w:val="28"/>
          <w:szCs w:val="28"/>
          <w:u w:val="single"/>
        </w:rPr>
        <w:t>convict</w:t>
      </w:r>
      <w:r>
        <w:rPr>
          <w:rFonts w:ascii="Times New Roman" w:hAnsi="Times New Roman" w:cs="Times New Roman"/>
          <w:sz w:val="28"/>
          <w:szCs w:val="28"/>
        </w:rPr>
        <w:t xml:space="preserve"> is sentenced to a punishment either as prescribed by law or as deemed appropriate by the Court. </w:t>
      </w:r>
    </w:p>
    <w:p w14:paraId="4ED7C2D9">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THE ROLE OF JUDGES</w:t>
      </w:r>
    </w:p>
    <w:p w14:paraId="52ED935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role of judges is primarily for the determination of disputes brought before it. S.6(6) (b) of the Constitution of Federal Republic of Nigeria, 1999 (as amended) provides that the power of the Court to decide cases </w:t>
      </w:r>
      <w:r>
        <w:rPr>
          <w:rFonts w:ascii="Times New Roman" w:hAnsi="Times New Roman" w:cs="Times New Roman"/>
          <w:b/>
          <w:sz w:val="28"/>
          <w:szCs w:val="28"/>
        </w:rPr>
        <w:t>“shall extend, to all matters between persons, or between government or authority and to any person in Nigeria, and to all actions and proceedings relating thereto, for the determination of any question as to the civil rights and obligations of that person”</w:t>
      </w:r>
      <w:r>
        <w:rPr>
          <w:rFonts w:ascii="Times New Roman" w:hAnsi="Times New Roman" w:cs="Times New Roman"/>
          <w:sz w:val="28"/>
          <w:szCs w:val="28"/>
        </w:rPr>
        <w:t xml:space="preserve"> see Anyankpele v Nigeria Army (2000) LPELR-1069 (CA) It is apt to add that the role of judges is the cornerstone of a peaceful society. Without the Courts, people will take laws into their hands and there will be anarchy. It is not out of place to state that without Judges/Courts, democracy will be a mirage.   </w:t>
      </w:r>
    </w:p>
    <w:p w14:paraId="447D9CB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Now, what the Courts decide is nothing other than interpreting and applying the laws made for the orderliness of the society. Therefore, the Judges are not the law makers, at least in principle. I say so because after the body entrusted with the duty of making laws has passed a bill and assented to by the person entitled to so do, it is the Judge/Court that determines what the law prescribed by the interpretation. That is why it is true that the Supreme Court in particular, by its pronouncement decides with finality what the provision of any law is. </w:t>
      </w:r>
    </w:p>
    <w:p w14:paraId="1351A47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As Lawyers, you are aware that the Courts give shape to the Legal landscape in the country. This is because the decisions direct or redirect the legal practice. In practice, the doctrine of stare decisis operates to ensure that what the Superior Court decided on a particular issue is followed. Once the Supreme Court has decided on an issue, it becomes the law. Every Court must follow that decision and a refusal will be termed Judicial radicalism which can attract severe sanctions. In like manner, High Courts, and other courts must follow the decisions of the Court of Appeal. </w:t>
      </w:r>
    </w:p>
    <w:p w14:paraId="3DF1700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Let me give one example. Until the recent past, the Courts entered the political arena by deciding which member of a political party is properly nominated for election or not. Now, the Supreme Court decided that such is not the function of the Court. In the case of Dingyadi &amp; Anor v INEC &amp; ors (2011) LPELR-950 (SC), the apex Court held thus. </w:t>
      </w:r>
      <w:r>
        <w:rPr>
          <w:rFonts w:ascii="Times New Roman" w:hAnsi="Times New Roman" w:cs="Times New Roman"/>
          <w:b/>
          <w:sz w:val="28"/>
          <w:szCs w:val="28"/>
        </w:rPr>
        <w:t>“For the Courts to take part in any manner to decide which member of a party is properly nominated for election or not is to put themselves in the thick of an indescribable imbroglio”.</w:t>
      </w:r>
      <w:r>
        <w:rPr>
          <w:rFonts w:ascii="Times New Roman" w:hAnsi="Times New Roman" w:cs="Times New Roman"/>
          <w:sz w:val="28"/>
          <w:szCs w:val="28"/>
        </w:rPr>
        <w:t xml:space="preserve"> Today, no Court will entertain a suit on which candidate a party sponsors for an election. See also Ehinlanwo v Oke &amp; ors was (2008) LPELR 1054(SC). </w:t>
      </w:r>
    </w:p>
    <w:p w14:paraId="79E89ABC">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DECISION MAKING BY TRIAL COURTS</w:t>
      </w:r>
    </w:p>
    <w:p w14:paraId="708A812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first step is the evaluation of evidence. By evaluating the evidence before the Court, the judge considers the probative value to attach to a particular piece of evidence, either documentary or viva-voce. Of-course, issues of admissibility would have been dealt with. I should add that it is the trial Court that is saddled with the duty of evaluating the evidence proffered. See Ezeani v FRN (2019) LPELR-46800 </w:t>
      </w:r>
    </w:p>
    <w:p w14:paraId="3524562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It is settled law that evaluation of evidence is not dependent on the number of witnesses but on credibility of the testimony. Where the witness has a personal knowledge on the issue on which he testifies, such evidence will attract high probative value in contrast to the testimony of a witness who testifies of a fact not within his personal knowledge. In a civil case, the trial judge will weigh the evidence from both sides on an imaginary scale of justice so as to decide in whose favour the scale preponderates. See Owie v Iqhiwi (2005) LPELR-2846 (SC)</w:t>
      </w:r>
    </w:p>
    <w:p w14:paraId="3B063A3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On the contrary in a criminal case, the judge evaluates the evidence to determine if the ingredients of the offence had been proved or a defence was established by the defendant. It is to be noted that evaluation of evidence with the attendant ascription of probative value must take into account relevant laws on the point. For instance in a Land case, there are laws on registration of registrable instruments. The judge carefully considers the effect of non-registration. And in a criminal trial, there are laws to guide in the ascription of value to certain classes of evidence. The Evidence Act is the Supreme Law on Evidence and the judge deals with the evidence guided by the provisions relating to presumptions and issues on which it must take judicial notice. </w:t>
      </w:r>
    </w:p>
    <w:p w14:paraId="1A6539F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Upon applying relevant laws, the Court now brings in precedent. This is also known as stare decisis. By it, a lower Court is bound by the decision of an appellate Court on a particular issue. The Supreme Court is the only Court that can decide a matter that does not follow precedent. This is referred to as departing from its previous decisions. This will occur when the Court is convinced that its previous decision is no longer good decision in new of fresh understanding of law. I give one example. In the case of Benjamin v Kalio (2018) 15 NWLR (Pt.1641) 38,50 Supreme Court held that the only law governing admissibility is the evidence Act. Thus, the state laws that provide that unregistered regisrable instruments are not to be admitted or tendered in evidence were no longer applicable. That was a departure from Akintola &amp; Anor v Solano (1986) LPELR-360 (SC) in which the Court held that such instruments were not admissible as proof of root title. Again, in Abdullahi &amp; ors v Adetutu (2019) LPELR-47384 (SC) the Court departed from Benjamin v Kalio Supra to hold that such unregistered instruments were inadmissible in proof of title. I should add that the law is settled that a un-registered regisrable instrument is admissible as evidence of payment of purchase price which creates an equitable interest in favour of the person who made the payment. </w:t>
      </w:r>
    </w:p>
    <w:p w14:paraId="01BE7D8F">
      <w:pPr>
        <w:spacing w:line="360" w:lineRule="auto"/>
        <w:jc w:val="center"/>
        <w:rPr>
          <w:rFonts w:ascii="Times New Roman" w:hAnsi="Times New Roman" w:cs="Times New Roman"/>
          <w:b/>
          <w:sz w:val="28"/>
          <w:szCs w:val="28"/>
          <w:u w:val="single"/>
        </w:rPr>
      </w:pPr>
    </w:p>
    <w:p w14:paraId="204E7B58">
      <w:pPr>
        <w:spacing w:line="360" w:lineRule="auto"/>
        <w:jc w:val="center"/>
        <w:rPr>
          <w:rFonts w:ascii="Times New Roman" w:hAnsi="Times New Roman" w:cs="Times New Roman"/>
          <w:b/>
          <w:sz w:val="28"/>
          <w:szCs w:val="28"/>
          <w:u w:val="single"/>
        </w:rPr>
      </w:pPr>
    </w:p>
    <w:p w14:paraId="2E5CD39C">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MAIN RULINGS AND HOLDINGS IN A JUDICIAL DECISION.</w:t>
      </w:r>
    </w:p>
    <w:p w14:paraId="6B48EF74">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Now, let me share with you my personal experience in a Civil Suit which I handled. It is the case of Abdullahi Musa v Standard Grains (Nig) Ltd &amp; 1 or. It is coded as HCL/10/2023. The judgment was delivered on 10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June, 2024.</w:t>
      </w:r>
    </w:p>
    <w:p w14:paraId="20996064">
      <w:pPr>
        <w:spacing w:line="360" w:lineRule="auto"/>
        <w:ind w:firstLine="720"/>
        <w:jc w:val="center"/>
        <w:rPr>
          <w:rFonts w:ascii="Times New Roman" w:hAnsi="Times New Roman" w:cs="Times New Roman"/>
          <w:b/>
          <w:sz w:val="28"/>
          <w:szCs w:val="28"/>
          <w:u w:val="single"/>
        </w:rPr>
      </w:pPr>
      <w:r>
        <w:rPr>
          <w:rFonts w:ascii="Times New Roman" w:hAnsi="Times New Roman" w:cs="Times New Roman"/>
          <w:b/>
          <w:sz w:val="28"/>
          <w:szCs w:val="28"/>
          <w:u w:val="single"/>
        </w:rPr>
        <w:t>FACTS:</w:t>
      </w:r>
    </w:p>
    <w:p w14:paraId="2046D8E0">
      <w:pPr>
        <w:spacing w:line="360" w:lineRule="auto"/>
        <w:jc w:val="both"/>
        <w:rPr>
          <w:rFonts w:ascii="Times New Roman" w:hAnsi="Times New Roman" w:cs="Times New Roman"/>
          <w:sz w:val="28"/>
          <w:szCs w:val="28"/>
        </w:rPr>
      </w:pPr>
      <w:r>
        <w:rPr>
          <w:rFonts w:ascii="Times New Roman" w:hAnsi="Times New Roman" w:cs="Times New Roman"/>
          <w:sz w:val="28"/>
          <w:szCs w:val="28"/>
        </w:rPr>
        <w:t>The claimant had packed his tricycle by the roadside at night. A DAF truck driven by the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defendant crashed into the tricycle that night and caused extensive damage to it. The claimant therefore sought award of damages for negligence and loss of earnings as well as physichological and emotional trauma. The defendants denied liability and blamed the accident on a sudden mechanical fault. </w:t>
      </w:r>
    </w:p>
    <w:p w14:paraId="33DDB34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In the course of the trial, I delivered some rulings. </w:t>
      </w:r>
    </w:p>
    <w:p w14:paraId="575B3845">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Motion exparte for substituted service. This was because the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defendant could not be traced for personal service. Being exparte, there was no opposition. But the claimant as Applicant must satisfy the Court that there was </w:t>
      </w:r>
      <w:r>
        <w:rPr>
          <w:rFonts w:ascii="Times New Roman" w:hAnsi="Times New Roman" w:cs="Times New Roman"/>
          <w:b/>
          <w:sz w:val="28"/>
          <w:szCs w:val="28"/>
        </w:rPr>
        <w:t>“reasonable probality that the document will come to the knowledge of the person to be served”.</w:t>
      </w:r>
      <w:r>
        <w:rPr>
          <w:rFonts w:ascii="Times New Roman" w:hAnsi="Times New Roman" w:cs="Times New Roman"/>
          <w:sz w:val="28"/>
          <w:szCs w:val="28"/>
        </w:rPr>
        <w:t xml:space="preserve"> Order 5 Rule 5 Kogi State High Court Civil Procedure Rules 2006. I granted the application. </w:t>
      </w:r>
    </w:p>
    <w:p w14:paraId="0E75E8D4">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Motion to regularize: The claimant filed his Counter-Affidavit and written address in opposition to a Notice of preliminary objection  out of time. He filed a motion to regularize. This is an innocuous application and is usually granted. Of-course, there was no opposition. </w:t>
      </w:r>
    </w:p>
    <w:p w14:paraId="7BE91EBA">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Notice of preliminary objection. The Notice of preliminary objection which was predicated on lack of reasonable cause of action was considered and dismissed.  </w:t>
      </w:r>
    </w:p>
    <w:p w14:paraId="46DA6BBD">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Motion on Notice to re-open claimants case after closing same. This was before the defence could open. Even though the motion was vehemently opposed, I granted it because fair hearing demands that a party should be allowed to ventilate his grouses that brought him to Court. </w:t>
      </w:r>
    </w:p>
    <w:p w14:paraId="1D86426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suit proceeded to hearing after the PTC was held. Witnesses testified for both sides. </w:t>
      </w:r>
    </w:p>
    <w:p w14:paraId="1BB2F59F">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THE JUDGMENT</w:t>
      </w:r>
    </w:p>
    <w:p w14:paraId="534B71E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my judgment, the suit was dismissed. </w:t>
      </w:r>
    </w:p>
    <w:p w14:paraId="52B42267">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MAIN HOLDINGS</w:t>
      </w:r>
    </w:p>
    <w:p w14:paraId="2CDAC446">
      <w:pPr>
        <w:pStyle w:val="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claimant had the duty to prove negligence. Claimant’s case was built on the tort of negligence. It was averred that the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defendant as the agent of the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drove his truck negligently which resulted in the crash. The onus to prove such negligence was on the claimant. </w:t>
      </w:r>
    </w:p>
    <w:p w14:paraId="17CDC566">
      <w:pPr>
        <w:pStyle w:val="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principle of res ipsa loquitor is only a rule of evidence and not a principle of law. The principle is that there is no need for further evidence to prove the fact pleaded. However, this is only a rebuttable presumption and thus in the face of credible and acceptable evidence from the defendant, the principle gives way requiring the claimant to establish his case with credible evidence. </w:t>
      </w:r>
    </w:p>
    <w:p w14:paraId="46A759F3">
      <w:pPr>
        <w:pStyle w:val="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claimant made an admission against interest. Exhibit C3 was a report by the Police that the accident occurred as a result of a sudden mechanical fault. That evidence came in from the claimant. It is settled that where a party brings in evidence that supports the case of his adversary, the Court will act on it. That is evidence against interest. In the case of Akande v Adisa &amp; Anor (2012) LPELR-7807 (SC), the apex held that </w:t>
      </w:r>
      <w:r>
        <w:rPr>
          <w:rFonts w:ascii="Times New Roman" w:hAnsi="Times New Roman" w:cs="Times New Roman"/>
          <w:b/>
          <w:sz w:val="28"/>
          <w:szCs w:val="28"/>
        </w:rPr>
        <w:t xml:space="preserve">“in a situation where the evidence of the adversary favours or supports that of his opponent, any such admission against interest only strengthens the latter’s position”. </w:t>
      </w:r>
      <w:r>
        <w:rPr>
          <w:rFonts w:ascii="Times New Roman" w:hAnsi="Times New Roman" w:cs="Times New Roman"/>
          <w:sz w:val="28"/>
          <w:szCs w:val="28"/>
        </w:rPr>
        <w:t>This negates the principle of res ipsa loquitor. If the accident resulted from a sudden mechanical fault, the defendant can not be held to have been negligent.</w:t>
      </w:r>
    </w:p>
    <w:p w14:paraId="2D7B88D7">
      <w:pPr>
        <w:pStyle w:val="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claimant without further evidence aside relying on res ipsa loquitor failed to prove negligence. </w:t>
      </w:r>
    </w:p>
    <w:p w14:paraId="3EB49B10">
      <w:pPr>
        <w:pStyle w:val="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claimant failed to prove his claim and the suit was dismissed</w:t>
      </w:r>
    </w:p>
    <w:p w14:paraId="1CF4F16B">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EFFECT ON LAW AND FUTURE CASES</w:t>
      </w:r>
    </w:p>
    <w:p w14:paraId="4A4F5B5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This decision points out inadequate preparation by counsel. A counsel should have at the back of his mind a possible defence to his case. It is safer to have an alternative or additional approach in pursuing a case. The principle is ex abudantia cutela. It is better to act out of abundance. If claimant’s counsel had tried to bring in other pieces of evidence such as expert evidence on non-road worthiness of the vehicle or lack of maintenance, may be the defendant would have found it difficult to defend. </w:t>
      </w:r>
    </w:p>
    <w:p w14:paraId="281C673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Above all, this was a case that should have been settled out of Court. If Counsel to the claimant had pressed for Alternative Dispute Resolution, he probably would have achieved some benefits for his client. Litigation should be a last resort particularly when success is not clearly predictable. </w:t>
      </w:r>
    </w:p>
    <w:p w14:paraId="4CA7A97D">
      <w:pPr>
        <w:spacing w:line="360" w:lineRule="auto"/>
        <w:jc w:val="both"/>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 xml:space="preserve">I thank you for your attention.          </w:t>
      </w:r>
      <w:r>
        <w:rPr>
          <w:rFonts w:ascii="Times New Roman" w:hAnsi="Times New Roman" w:cs="Times New Roman"/>
          <w:sz w:val="28"/>
          <w:szCs w:val="28"/>
          <w:u w:val="single"/>
        </w:rPr>
        <w:t xml:space="preserve">        </w:t>
      </w:r>
    </w:p>
    <w:p w14:paraId="0E18801D">
      <w:pPr>
        <w:spacing w:line="36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Pr>
          <w:rFonts w:ascii="Times New Roman" w:hAnsi="Times New Roman" w:cs="Times New Roman"/>
          <w:b/>
          <w:sz w:val="28"/>
          <w:szCs w:val="28"/>
          <w:u w:val="single"/>
        </w:rPr>
        <w:t xml:space="preserve">             </w:t>
      </w:r>
    </w:p>
    <w:p w14:paraId="57C291A9">
      <w:pPr>
        <w:spacing w:line="360" w:lineRule="auto"/>
        <w:ind w:left="720"/>
        <w:jc w:val="both"/>
        <w:rPr>
          <w:rFonts w:ascii="Times New Roman" w:hAnsi="Times New Roman" w:cs="Times New Roman"/>
          <w:b/>
          <w:sz w:val="28"/>
          <w:szCs w:val="28"/>
          <w:u w:val="single"/>
        </w:rPr>
      </w:pPr>
    </w:p>
    <w:p w14:paraId="7A308667"/>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52391"/>
      <w:docPartObj>
        <w:docPartGallery w:val="AutoText"/>
      </w:docPartObj>
    </w:sdtPr>
    <w:sdtContent>
      <w:p w14:paraId="62FA202D">
        <w:pPr>
          <w:pStyle w:val="4"/>
          <w:jc w:val="center"/>
        </w:pPr>
        <w:r>
          <w:fldChar w:fldCharType="begin"/>
        </w:r>
        <w:r>
          <w:instrText xml:space="preserve"> PAGE   \* MERGEFORMAT </w:instrText>
        </w:r>
        <w:r>
          <w:fldChar w:fldCharType="separate"/>
        </w:r>
        <w:r>
          <w:t>1</w:t>
        </w:r>
        <w:r>
          <w:fldChar w:fldCharType="end"/>
        </w:r>
      </w:p>
    </w:sdtContent>
  </w:sdt>
  <w:p w14:paraId="3F49747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B1964"/>
    <w:multiLevelType w:val="multilevel"/>
    <w:tmpl w:val="338B1964"/>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B03191"/>
    <w:multiLevelType w:val="multilevel"/>
    <w:tmpl w:val="3AB03191"/>
    <w:lvl w:ilvl="0" w:tentative="0">
      <w:start w:val="1"/>
      <w:numFmt w:val="lowerRoman"/>
      <w:lvlText w:val="(%1)"/>
      <w:lvlJc w:val="left"/>
      <w:pPr>
        <w:ind w:left="1440" w:hanging="108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B253E7F"/>
    <w:multiLevelType w:val="multilevel"/>
    <w:tmpl w:val="6B253E7F"/>
    <w:lvl w:ilvl="0" w:tentative="0">
      <w:start w:val="1"/>
      <w:numFmt w:val="decimal"/>
      <w:lvlText w:val="(%1)"/>
      <w:lvlJc w:val="left"/>
      <w:pPr>
        <w:ind w:left="1080" w:hanging="720"/>
      </w:pPr>
      <w:rPr>
        <w:rFonts w:ascii="Tahoma" w:hAnsi="Tahoma" w:cs="Tahoma"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6A"/>
    <w:rsid w:val="002A5BF2"/>
    <w:rsid w:val="003E32FC"/>
    <w:rsid w:val="00782ABA"/>
    <w:rsid w:val="0084426A"/>
    <w:rsid w:val="008F1C51"/>
    <w:rsid w:val="00B93F5E"/>
    <w:rsid w:val="00D752DF"/>
    <w:rsid w:val="143B3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680"/>
        <w:tab w:val="right" w:pos="9360"/>
      </w:tabs>
      <w:spacing w:after="0" w:line="240" w:lineRule="auto"/>
    </w:pPr>
  </w:style>
  <w:style w:type="paragraph" w:styleId="5">
    <w:name w:val="List Paragraph"/>
    <w:basedOn w:val="1"/>
    <w:qFormat/>
    <w:uiPriority w:val="34"/>
    <w:pPr>
      <w:ind w:left="720"/>
      <w:contextualSpacing/>
    </w:pPr>
  </w:style>
  <w:style w:type="character" w:customStyle="1" w:styleId="6">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2645</Words>
  <Characters>15081</Characters>
  <Lines>125</Lines>
  <Paragraphs>35</Paragraphs>
  <TotalTime>2</TotalTime>
  <ScaleCrop>false</ScaleCrop>
  <LinksUpToDate>false</LinksUpToDate>
  <CharactersWithSpaces>17691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2025-06-25T20:26:00Z</dcterms:created>
  <dc:creator>USER</dc:creator>
  <cp:lastModifiedBy>ifeoma uzoefuna</cp:lastModifiedBy>
  <dcterms:modified xsi:type="dcterms:W3CDTF">2025-06-25T14:29:05Z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A5F86BABDEF843DFB9B05718C1536F35_13</vt:lpwstr>
  </property>
</Properties>
</file>