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BABC" w14:textId="77777777" w:rsidR="000939F5" w:rsidRPr="00A24573" w:rsidRDefault="000939F5" w:rsidP="000939F5">
      <w:pPr>
        <w:spacing w:after="0" w:line="360" w:lineRule="auto"/>
        <w:jc w:val="center"/>
        <w:rPr>
          <w:rFonts w:ascii="Times New Roman" w:hAnsi="Times New Roman" w:cs="Times New Roman"/>
          <w:b/>
          <w:bCs/>
          <w:sz w:val="28"/>
          <w:szCs w:val="28"/>
          <w:u w:val="single"/>
        </w:rPr>
      </w:pPr>
      <w:r w:rsidRPr="00A24573">
        <w:rPr>
          <w:rFonts w:ascii="Times New Roman" w:hAnsi="Times New Roman" w:cs="Times New Roman"/>
          <w:b/>
          <w:bCs/>
          <w:sz w:val="28"/>
          <w:szCs w:val="28"/>
          <w:u w:val="single"/>
        </w:rPr>
        <w:t>MANAGING INDUSTRIAL</w:t>
      </w:r>
      <w:r w:rsidR="00A24573">
        <w:rPr>
          <w:rFonts w:ascii="Times New Roman" w:hAnsi="Times New Roman" w:cs="Times New Roman"/>
          <w:b/>
          <w:bCs/>
          <w:sz w:val="28"/>
          <w:szCs w:val="28"/>
          <w:u w:val="single"/>
        </w:rPr>
        <w:t xml:space="preserve"> ACTIONS AND STRIKES IN NIGERIA</w:t>
      </w:r>
    </w:p>
    <w:p w14:paraId="11976DA8" w14:textId="77777777" w:rsidR="000939F5" w:rsidRPr="00A24573" w:rsidRDefault="000939F5" w:rsidP="000939F5">
      <w:pPr>
        <w:spacing w:after="0" w:line="360" w:lineRule="auto"/>
        <w:jc w:val="center"/>
        <w:rPr>
          <w:rFonts w:ascii="Times New Roman" w:hAnsi="Times New Roman" w:cs="Times New Roman"/>
          <w:b/>
          <w:bCs/>
          <w:sz w:val="28"/>
          <w:szCs w:val="28"/>
          <w:u w:val="single"/>
        </w:rPr>
      </w:pPr>
      <w:r w:rsidRPr="00A24573">
        <w:rPr>
          <w:rFonts w:ascii="Times New Roman" w:hAnsi="Times New Roman" w:cs="Times New Roman"/>
          <w:b/>
          <w:bCs/>
          <w:sz w:val="28"/>
          <w:szCs w:val="28"/>
          <w:u w:val="single"/>
        </w:rPr>
        <w:t>THE ROLE OF NATIONAL INDUSTRIAL COURT OF NIGERIA</w:t>
      </w:r>
    </w:p>
    <w:p w14:paraId="795671B6" w14:textId="77777777" w:rsidR="000939F5" w:rsidRDefault="000939F5" w:rsidP="000939F5">
      <w:pPr>
        <w:spacing w:after="0" w:line="360" w:lineRule="auto"/>
        <w:jc w:val="center"/>
        <w:rPr>
          <w:rFonts w:ascii="Times New Roman" w:hAnsi="Times New Roman" w:cs="Times New Roman"/>
          <w:b/>
          <w:sz w:val="26"/>
          <w:szCs w:val="26"/>
        </w:rPr>
      </w:pPr>
    </w:p>
    <w:p w14:paraId="04554F5A" w14:textId="77777777" w:rsidR="000939F5" w:rsidRPr="000939F5" w:rsidRDefault="000939F5" w:rsidP="000939F5">
      <w:pPr>
        <w:spacing w:after="0" w:line="360" w:lineRule="auto"/>
        <w:jc w:val="center"/>
        <w:rPr>
          <w:rFonts w:ascii="Times New Roman" w:hAnsi="Times New Roman" w:cs="Times New Roman"/>
          <w:b/>
          <w:sz w:val="26"/>
          <w:szCs w:val="26"/>
        </w:rPr>
      </w:pPr>
      <w:r w:rsidRPr="000939F5">
        <w:rPr>
          <w:rFonts w:ascii="Times New Roman" w:hAnsi="Times New Roman" w:cs="Times New Roman"/>
          <w:b/>
          <w:sz w:val="26"/>
          <w:szCs w:val="26"/>
        </w:rPr>
        <w:t xml:space="preserve">PRESENTED BY HON JUSTICE O. A. OBASEKI-OSAGHAE  </w:t>
      </w:r>
      <w:proofErr w:type="spellStart"/>
      <w:r w:rsidRPr="000939F5">
        <w:rPr>
          <w:rFonts w:ascii="Times New Roman" w:hAnsi="Times New Roman" w:cs="Times New Roman"/>
          <w:b/>
          <w:sz w:val="26"/>
          <w:szCs w:val="26"/>
        </w:rPr>
        <w:t>FCIArb</w:t>
      </w:r>
      <w:proofErr w:type="spellEnd"/>
      <w:r w:rsidRPr="000939F5">
        <w:rPr>
          <w:rFonts w:ascii="Times New Roman" w:hAnsi="Times New Roman" w:cs="Times New Roman"/>
          <w:b/>
          <w:sz w:val="26"/>
          <w:szCs w:val="26"/>
        </w:rPr>
        <w:t xml:space="preserve"> </w:t>
      </w:r>
    </w:p>
    <w:p w14:paraId="57D1E977" w14:textId="77777777" w:rsidR="000939F5" w:rsidRDefault="000939F5" w:rsidP="000939F5">
      <w:pPr>
        <w:spacing w:after="0" w:line="360" w:lineRule="auto"/>
        <w:ind w:left="1440" w:firstLine="720"/>
        <w:rPr>
          <w:rFonts w:ascii="Times New Roman" w:hAnsi="Times New Roman" w:cs="Times New Roman"/>
          <w:b/>
          <w:sz w:val="26"/>
          <w:szCs w:val="26"/>
        </w:rPr>
      </w:pPr>
      <w:r>
        <w:rPr>
          <w:rFonts w:ascii="Times New Roman" w:hAnsi="Times New Roman" w:cs="Times New Roman"/>
          <w:b/>
          <w:sz w:val="26"/>
          <w:szCs w:val="26"/>
        </w:rPr>
        <w:t>ADMINISTRATIVE JUDGE</w:t>
      </w:r>
    </w:p>
    <w:p w14:paraId="2AF655CB" w14:textId="77777777" w:rsidR="000939F5" w:rsidRDefault="000939F5" w:rsidP="000939F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NATIONAL INDUSTRIAL COURT OF NIGERIA ABUJA DIVISION</w:t>
      </w:r>
      <w:r>
        <w:rPr>
          <w:rStyle w:val="FootnoteReference"/>
          <w:rFonts w:ascii="Times New Roman" w:hAnsi="Times New Roman" w:cs="Times New Roman"/>
          <w:b/>
          <w:sz w:val="26"/>
          <w:szCs w:val="26"/>
        </w:rPr>
        <w:footnoteReference w:id="1"/>
      </w:r>
    </w:p>
    <w:p w14:paraId="4746253C" w14:textId="77777777" w:rsidR="000939F5" w:rsidRDefault="000939F5" w:rsidP="000939F5">
      <w:pPr>
        <w:spacing w:after="0" w:line="360" w:lineRule="auto"/>
        <w:jc w:val="both"/>
        <w:rPr>
          <w:rFonts w:ascii="Times New Roman" w:hAnsi="Times New Roman" w:cs="Times New Roman"/>
          <w:b/>
          <w:sz w:val="26"/>
          <w:szCs w:val="26"/>
        </w:rPr>
      </w:pPr>
    </w:p>
    <w:p w14:paraId="15FC83D4" w14:textId="45F2A054" w:rsidR="00F62547" w:rsidRPr="0044283C" w:rsidRDefault="000939F5" w:rsidP="000939F5">
      <w:pPr>
        <w:spacing w:after="0" w:line="360" w:lineRule="auto"/>
        <w:jc w:val="both"/>
        <w:rPr>
          <w:rFonts w:ascii="Times New Roman" w:hAnsi="Times New Roman" w:cs="Times New Roman"/>
          <w:b/>
          <w:sz w:val="26"/>
          <w:szCs w:val="26"/>
          <w:u w:val="single"/>
        </w:rPr>
      </w:pPr>
      <w:r w:rsidRPr="0044283C">
        <w:rPr>
          <w:rFonts w:ascii="Times New Roman" w:hAnsi="Times New Roman" w:cs="Times New Roman"/>
          <w:b/>
          <w:sz w:val="26"/>
          <w:szCs w:val="26"/>
          <w:u w:val="single"/>
        </w:rPr>
        <w:t>INTRODUCTION</w:t>
      </w:r>
    </w:p>
    <w:p w14:paraId="6BBE8118" w14:textId="77777777" w:rsidR="00B434DF" w:rsidRDefault="00B434DF" w:rsidP="000939F5">
      <w:pPr>
        <w:spacing w:after="0" w:line="360" w:lineRule="auto"/>
        <w:jc w:val="both"/>
        <w:rPr>
          <w:rFonts w:ascii="Times New Roman" w:hAnsi="Times New Roman" w:cs="Times New Roman"/>
          <w:b/>
          <w:sz w:val="26"/>
          <w:szCs w:val="26"/>
          <w:u w:val="single"/>
        </w:rPr>
      </w:pPr>
    </w:p>
    <w:p w14:paraId="154AA416" w14:textId="324B544A" w:rsidR="00FA6BB0" w:rsidRDefault="00232F51" w:rsidP="000939F5">
      <w:pPr>
        <w:spacing w:after="0" w:line="360" w:lineRule="auto"/>
        <w:jc w:val="both"/>
        <w:rPr>
          <w:rFonts w:ascii="Times New Roman" w:hAnsi="Times New Roman" w:cs="Times New Roman"/>
          <w:sz w:val="28"/>
          <w:szCs w:val="28"/>
        </w:rPr>
      </w:pPr>
      <w:r w:rsidRPr="00232F51">
        <w:rPr>
          <w:rFonts w:ascii="Times New Roman" w:hAnsi="Times New Roman" w:cs="Times New Roman"/>
          <w:sz w:val="28"/>
          <w:szCs w:val="28"/>
        </w:rPr>
        <w:t>[1]</w:t>
      </w:r>
      <w:r w:rsidR="000939F5" w:rsidRPr="00232F51">
        <w:rPr>
          <w:rFonts w:ascii="Times New Roman" w:hAnsi="Times New Roman" w:cs="Times New Roman"/>
          <w:sz w:val="28"/>
          <w:szCs w:val="28"/>
        </w:rPr>
        <w:t xml:space="preserve"> I must begin by expressing my </w:t>
      </w:r>
      <w:r w:rsidR="0076119C" w:rsidRPr="00232F51">
        <w:rPr>
          <w:rFonts w:ascii="Times New Roman" w:hAnsi="Times New Roman" w:cs="Times New Roman"/>
          <w:sz w:val="28"/>
          <w:szCs w:val="28"/>
        </w:rPr>
        <w:t xml:space="preserve">profound </w:t>
      </w:r>
      <w:r w:rsidR="000939F5" w:rsidRPr="00232F51">
        <w:rPr>
          <w:rFonts w:ascii="Times New Roman" w:hAnsi="Times New Roman" w:cs="Times New Roman"/>
          <w:sz w:val="28"/>
          <w:szCs w:val="28"/>
        </w:rPr>
        <w:t xml:space="preserve">thanks and appreciation to </w:t>
      </w:r>
      <w:r w:rsidR="00A95E5C" w:rsidRPr="00232F51">
        <w:rPr>
          <w:rFonts w:ascii="Times New Roman" w:hAnsi="Times New Roman" w:cs="Times New Roman"/>
          <w:sz w:val="28"/>
          <w:szCs w:val="28"/>
        </w:rPr>
        <w:t xml:space="preserve">His Lordship, Hon Justice </w:t>
      </w:r>
      <w:proofErr w:type="spellStart"/>
      <w:r w:rsidR="00A95E5C" w:rsidRPr="00232F51">
        <w:rPr>
          <w:rFonts w:ascii="Times New Roman" w:hAnsi="Times New Roman" w:cs="Times New Roman"/>
          <w:sz w:val="28"/>
          <w:szCs w:val="28"/>
        </w:rPr>
        <w:t>Salisu</w:t>
      </w:r>
      <w:proofErr w:type="spellEnd"/>
      <w:r w:rsidR="00A95E5C" w:rsidRPr="00232F51">
        <w:rPr>
          <w:rFonts w:ascii="Times New Roman" w:hAnsi="Times New Roman" w:cs="Times New Roman"/>
          <w:sz w:val="28"/>
          <w:szCs w:val="28"/>
        </w:rPr>
        <w:t xml:space="preserve"> </w:t>
      </w:r>
      <w:proofErr w:type="spellStart"/>
      <w:r w:rsidR="00A95E5C" w:rsidRPr="00232F51">
        <w:rPr>
          <w:rFonts w:ascii="Times New Roman" w:hAnsi="Times New Roman" w:cs="Times New Roman"/>
          <w:sz w:val="28"/>
          <w:szCs w:val="28"/>
        </w:rPr>
        <w:t>Garba</w:t>
      </w:r>
      <w:proofErr w:type="spellEnd"/>
      <w:r w:rsidR="00A95E5C" w:rsidRPr="00232F51">
        <w:rPr>
          <w:rFonts w:ascii="Times New Roman" w:hAnsi="Times New Roman" w:cs="Times New Roman"/>
          <w:sz w:val="28"/>
          <w:szCs w:val="28"/>
        </w:rPr>
        <w:t xml:space="preserve"> </w:t>
      </w:r>
      <w:proofErr w:type="spellStart"/>
      <w:r w:rsidR="00A95E5C" w:rsidRPr="00232F51">
        <w:rPr>
          <w:rFonts w:ascii="Times New Roman" w:hAnsi="Times New Roman" w:cs="Times New Roman"/>
          <w:sz w:val="28"/>
          <w:szCs w:val="28"/>
        </w:rPr>
        <w:t>Abdullahi</w:t>
      </w:r>
      <w:proofErr w:type="spellEnd"/>
      <w:r w:rsidR="0076119C" w:rsidRPr="00232F51">
        <w:rPr>
          <w:rFonts w:ascii="Times New Roman" w:hAnsi="Times New Roman" w:cs="Times New Roman"/>
          <w:sz w:val="28"/>
          <w:szCs w:val="28"/>
        </w:rPr>
        <w:t xml:space="preserve">, Administrator NJI </w:t>
      </w:r>
      <w:r w:rsidR="000939F5" w:rsidRPr="00232F51">
        <w:rPr>
          <w:rFonts w:ascii="Times New Roman" w:hAnsi="Times New Roman" w:cs="Times New Roman"/>
          <w:sz w:val="28"/>
          <w:szCs w:val="28"/>
        </w:rPr>
        <w:t xml:space="preserve">for </w:t>
      </w:r>
      <w:r w:rsidR="00685817">
        <w:rPr>
          <w:rFonts w:ascii="Times New Roman" w:hAnsi="Times New Roman" w:cs="Times New Roman"/>
          <w:sz w:val="28"/>
          <w:szCs w:val="28"/>
        </w:rPr>
        <w:t>finding me worthy</w:t>
      </w:r>
      <w:r w:rsidR="00472077">
        <w:rPr>
          <w:rFonts w:ascii="Times New Roman" w:hAnsi="Times New Roman" w:cs="Times New Roman"/>
          <w:sz w:val="28"/>
          <w:szCs w:val="28"/>
        </w:rPr>
        <w:t xml:space="preserve"> to be</w:t>
      </w:r>
      <w:r w:rsidRPr="00232F51">
        <w:rPr>
          <w:rFonts w:ascii="Times New Roman" w:hAnsi="Times New Roman" w:cs="Times New Roman"/>
          <w:sz w:val="28"/>
          <w:szCs w:val="28"/>
        </w:rPr>
        <w:t xml:space="preserve"> </w:t>
      </w:r>
      <w:r w:rsidR="00685817">
        <w:rPr>
          <w:rFonts w:ascii="Times New Roman" w:hAnsi="Times New Roman" w:cs="Times New Roman"/>
          <w:sz w:val="28"/>
          <w:szCs w:val="28"/>
        </w:rPr>
        <w:t xml:space="preserve">invited as </w:t>
      </w:r>
      <w:r w:rsidRPr="00232F51">
        <w:rPr>
          <w:rFonts w:ascii="Times New Roman" w:hAnsi="Times New Roman" w:cs="Times New Roman"/>
          <w:sz w:val="28"/>
          <w:szCs w:val="28"/>
        </w:rPr>
        <w:t>a resource person to present</w:t>
      </w:r>
      <w:r w:rsidR="000939F5" w:rsidRPr="00232F51">
        <w:rPr>
          <w:rFonts w:ascii="Times New Roman" w:hAnsi="Times New Roman" w:cs="Times New Roman"/>
          <w:sz w:val="28"/>
          <w:szCs w:val="28"/>
        </w:rPr>
        <w:t xml:space="preserve"> this paper at this </w:t>
      </w:r>
      <w:r w:rsidR="0076119C" w:rsidRPr="00232F51">
        <w:rPr>
          <w:rFonts w:ascii="Times New Roman" w:hAnsi="Times New Roman" w:cs="Times New Roman"/>
          <w:sz w:val="28"/>
          <w:szCs w:val="28"/>
        </w:rPr>
        <w:t>Hybrid Refresher Course for Judges of the Superior Courts of Record. I also thank His Lordship Hon Justi</w:t>
      </w:r>
      <w:r w:rsidR="00685817">
        <w:rPr>
          <w:rFonts w:ascii="Times New Roman" w:hAnsi="Times New Roman" w:cs="Times New Roman"/>
          <w:sz w:val="28"/>
          <w:szCs w:val="28"/>
        </w:rPr>
        <w:t xml:space="preserve">ce B.B. </w:t>
      </w:r>
      <w:proofErr w:type="spellStart"/>
      <w:r w:rsidR="00685817">
        <w:rPr>
          <w:rFonts w:ascii="Times New Roman" w:hAnsi="Times New Roman" w:cs="Times New Roman"/>
          <w:sz w:val="28"/>
          <w:szCs w:val="28"/>
        </w:rPr>
        <w:t>Kanyip</w:t>
      </w:r>
      <w:proofErr w:type="spellEnd"/>
      <w:r w:rsidR="00685817">
        <w:rPr>
          <w:rFonts w:ascii="Times New Roman" w:hAnsi="Times New Roman" w:cs="Times New Roman"/>
          <w:sz w:val="28"/>
          <w:szCs w:val="28"/>
        </w:rPr>
        <w:t xml:space="preserve"> OFR PhD, FNIALS,</w:t>
      </w:r>
      <w:r w:rsidR="00472077">
        <w:rPr>
          <w:rFonts w:ascii="Times New Roman" w:hAnsi="Times New Roman" w:cs="Times New Roman"/>
          <w:sz w:val="28"/>
          <w:szCs w:val="28"/>
        </w:rPr>
        <w:t xml:space="preserve"> </w:t>
      </w:r>
      <w:r w:rsidR="006D1F60">
        <w:rPr>
          <w:rFonts w:ascii="Times New Roman" w:hAnsi="Times New Roman" w:cs="Times New Roman"/>
          <w:sz w:val="28"/>
          <w:szCs w:val="28"/>
        </w:rPr>
        <w:t>President</w:t>
      </w:r>
      <w:r w:rsidR="0076119C" w:rsidRPr="00232F51">
        <w:rPr>
          <w:rFonts w:ascii="Times New Roman" w:hAnsi="Times New Roman" w:cs="Times New Roman"/>
          <w:sz w:val="28"/>
          <w:szCs w:val="28"/>
        </w:rPr>
        <w:t xml:space="preserve"> National Industrial Court </w:t>
      </w:r>
      <w:r w:rsidRPr="00232F51">
        <w:rPr>
          <w:rFonts w:ascii="Times New Roman" w:hAnsi="Times New Roman" w:cs="Times New Roman"/>
          <w:sz w:val="28"/>
          <w:szCs w:val="28"/>
        </w:rPr>
        <w:t>of Nigeria for his approval</w:t>
      </w:r>
      <w:r w:rsidR="00685817">
        <w:rPr>
          <w:rFonts w:ascii="Times New Roman" w:hAnsi="Times New Roman" w:cs="Times New Roman"/>
          <w:sz w:val="28"/>
          <w:szCs w:val="28"/>
        </w:rPr>
        <w:t xml:space="preserve"> for me to present this paper</w:t>
      </w:r>
      <w:r w:rsidRPr="00232F51">
        <w:rPr>
          <w:rFonts w:ascii="Times New Roman" w:hAnsi="Times New Roman" w:cs="Times New Roman"/>
          <w:sz w:val="28"/>
          <w:szCs w:val="28"/>
        </w:rPr>
        <w:t xml:space="preserve">. </w:t>
      </w:r>
    </w:p>
    <w:p w14:paraId="2C86AEF4" w14:textId="77777777" w:rsidR="005A55D1" w:rsidRDefault="005A55D1" w:rsidP="000939F5">
      <w:pPr>
        <w:spacing w:after="0" w:line="360" w:lineRule="auto"/>
        <w:jc w:val="both"/>
        <w:rPr>
          <w:rFonts w:ascii="Times New Roman" w:hAnsi="Times New Roman" w:cs="Times New Roman"/>
          <w:sz w:val="28"/>
          <w:szCs w:val="28"/>
        </w:rPr>
      </w:pPr>
    </w:p>
    <w:p w14:paraId="4D8B4772" w14:textId="1B3DA0CF" w:rsidR="00F62547" w:rsidRDefault="008C7B0C"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85817">
        <w:rPr>
          <w:rFonts w:ascii="Times New Roman" w:hAnsi="Times New Roman" w:cs="Times New Roman"/>
          <w:sz w:val="28"/>
          <w:szCs w:val="28"/>
        </w:rPr>
        <w:t>I note that t</w:t>
      </w:r>
      <w:r>
        <w:rPr>
          <w:rFonts w:ascii="Times New Roman" w:hAnsi="Times New Roman" w:cs="Times New Roman"/>
          <w:sz w:val="28"/>
          <w:szCs w:val="28"/>
        </w:rPr>
        <w:t xml:space="preserve">he keyword used </w:t>
      </w:r>
      <w:r w:rsidR="006D1F60">
        <w:rPr>
          <w:rFonts w:ascii="Times New Roman" w:hAnsi="Times New Roman" w:cs="Times New Roman"/>
          <w:sz w:val="28"/>
          <w:szCs w:val="28"/>
        </w:rPr>
        <w:t>in this</w:t>
      </w:r>
      <w:r w:rsidR="00685817">
        <w:rPr>
          <w:rFonts w:ascii="Times New Roman" w:hAnsi="Times New Roman" w:cs="Times New Roman"/>
          <w:sz w:val="28"/>
          <w:szCs w:val="28"/>
        </w:rPr>
        <w:t xml:space="preserve"> topic for dis</w:t>
      </w:r>
      <w:r w:rsidR="006D1F60">
        <w:rPr>
          <w:rFonts w:ascii="Times New Roman" w:hAnsi="Times New Roman" w:cs="Times New Roman"/>
          <w:sz w:val="28"/>
          <w:szCs w:val="28"/>
        </w:rPr>
        <w:t xml:space="preserve">course and which </w:t>
      </w:r>
      <w:r w:rsidR="004F4456">
        <w:rPr>
          <w:rFonts w:ascii="Times New Roman" w:hAnsi="Times New Roman" w:cs="Times New Roman"/>
          <w:sz w:val="28"/>
          <w:szCs w:val="28"/>
        </w:rPr>
        <w:t>is</w:t>
      </w:r>
      <w:r w:rsidR="00FA6BB0">
        <w:rPr>
          <w:rFonts w:ascii="Times New Roman" w:hAnsi="Times New Roman" w:cs="Times New Roman"/>
          <w:sz w:val="28"/>
          <w:szCs w:val="28"/>
        </w:rPr>
        <w:t xml:space="preserve"> </w:t>
      </w:r>
      <w:r>
        <w:rPr>
          <w:rFonts w:ascii="Times New Roman" w:hAnsi="Times New Roman" w:cs="Times New Roman"/>
          <w:sz w:val="28"/>
          <w:szCs w:val="28"/>
        </w:rPr>
        <w:t>of great significance</w:t>
      </w:r>
      <w:r w:rsidR="00FA6BB0">
        <w:rPr>
          <w:rFonts w:ascii="Times New Roman" w:hAnsi="Times New Roman" w:cs="Times New Roman"/>
          <w:sz w:val="28"/>
          <w:szCs w:val="28"/>
        </w:rPr>
        <w:t xml:space="preserve"> is “Role.”  This word is defined</w:t>
      </w:r>
      <w:r w:rsidR="00D20D76">
        <w:rPr>
          <w:rFonts w:ascii="Times New Roman" w:hAnsi="Times New Roman" w:cs="Times New Roman"/>
          <w:sz w:val="28"/>
          <w:szCs w:val="28"/>
        </w:rPr>
        <w:t xml:space="preserve"> as a “function, or a part played or taken on by someon</w:t>
      </w:r>
      <w:r w:rsidR="006D1F60">
        <w:rPr>
          <w:rFonts w:ascii="Times New Roman" w:hAnsi="Times New Roman" w:cs="Times New Roman"/>
          <w:sz w:val="28"/>
          <w:szCs w:val="28"/>
        </w:rPr>
        <w:t xml:space="preserve">e or something in life, </w:t>
      </w:r>
      <w:r w:rsidR="00D20D76">
        <w:rPr>
          <w:rFonts w:ascii="Times New Roman" w:hAnsi="Times New Roman" w:cs="Times New Roman"/>
          <w:sz w:val="28"/>
          <w:szCs w:val="28"/>
        </w:rPr>
        <w:t>etc.”</w:t>
      </w:r>
      <w:r w:rsidR="00D20D76">
        <w:rPr>
          <w:rStyle w:val="FootnoteReference"/>
          <w:rFonts w:ascii="Times New Roman" w:hAnsi="Times New Roman" w:cs="Times New Roman"/>
          <w:sz w:val="28"/>
          <w:szCs w:val="28"/>
        </w:rPr>
        <w:footnoteReference w:id="2"/>
      </w:r>
      <w:r w:rsidR="00D20D76">
        <w:rPr>
          <w:rFonts w:ascii="Times New Roman" w:hAnsi="Times New Roman" w:cs="Times New Roman"/>
          <w:sz w:val="28"/>
          <w:szCs w:val="28"/>
        </w:rPr>
        <w:t xml:space="preserve"> </w:t>
      </w:r>
      <w:r w:rsidR="006D1F60">
        <w:rPr>
          <w:rFonts w:ascii="Times New Roman" w:hAnsi="Times New Roman" w:cs="Times New Roman"/>
          <w:sz w:val="28"/>
          <w:szCs w:val="28"/>
        </w:rPr>
        <w:t xml:space="preserve"> </w:t>
      </w:r>
      <w:r w:rsidR="00D20D76">
        <w:rPr>
          <w:rFonts w:ascii="Times New Roman" w:hAnsi="Times New Roman" w:cs="Times New Roman"/>
          <w:sz w:val="28"/>
          <w:szCs w:val="28"/>
        </w:rPr>
        <w:t>The Role of the National Indus</w:t>
      </w:r>
      <w:r>
        <w:rPr>
          <w:rFonts w:ascii="Times New Roman" w:hAnsi="Times New Roman" w:cs="Times New Roman"/>
          <w:sz w:val="28"/>
          <w:szCs w:val="28"/>
        </w:rPr>
        <w:t xml:space="preserve">trial Court of Nigeria (NICN) in managing industrial actions of which strike is a component part cannot be over-emphasized. In employer/employee relationships, disputes are bound to arise relating to the terms and conditions of service. In industrial relations parlance, this is referred to as trade or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disputes. The NICN</w:t>
      </w:r>
      <w:r w:rsidR="004F4456">
        <w:rPr>
          <w:rFonts w:ascii="Times New Roman" w:hAnsi="Times New Roman" w:cs="Times New Roman"/>
          <w:sz w:val="28"/>
          <w:szCs w:val="28"/>
        </w:rPr>
        <w:t xml:space="preserve"> is therefore pivotal to the role of the judiciary </w:t>
      </w:r>
      <w:r w:rsidR="00C12DF9">
        <w:rPr>
          <w:rFonts w:ascii="Times New Roman" w:hAnsi="Times New Roman" w:cs="Times New Roman"/>
          <w:sz w:val="28"/>
          <w:szCs w:val="28"/>
        </w:rPr>
        <w:t xml:space="preserve">in managing </w:t>
      </w:r>
      <w:r w:rsidR="006D1F60">
        <w:rPr>
          <w:rFonts w:ascii="Times New Roman" w:hAnsi="Times New Roman" w:cs="Times New Roman"/>
          <w:sz w:val="28"/>
          <w:szCs w:val="28"/>
        </w:rPr>
        <w:t xml:space="preserve">and resolving </w:t>
      </w:r>
      <w:r w:rsidR="00C12DF9">
        <w:rPr>
          <w:rFonts w:ascii="Times New Roman" w:hAnsi="Times New Roman" w:cs="Times New Roman"/>
          <w:sz w:val="28"/>
          <w:szCs w:val="28"/>
        </w:rPr>
        <w:t>industrial disputes. Nigeria is desirous of rapid industrialization and socio-</w:t>
      </w:r>
      <w:proofErr w:type="spellStart"/>
      <w:r w:rsidR="00C12DF9">
        <w:rPr>
          <w:rFonts w:ascii="Times New Roman" w:hAnsi="Times New Roman" w:cs="Times New Roman"/>
          <w:sz w:val="28"/>
          <w:szCs w:val="28"/>
        </w:rPr>
        <w:t>econmic</w:t>
      </w:r>
      <w:proofErr w:type="spellEnd"/>
      <w:r w:rsidR="00C12DF9">
        <w:rPr>
          <w:rFonts w:ascii="Times New Roman" w:hAnsi="Times New Roman" w:cs="Times New Roman"/>
          <w:sz w:val="28"/>
          <w:szCs w:val="28"/>
        </w:rPr>
        <w:t xml:space="preserve"> development; and thus</w:t>
      </w:r>
      <w:r w:rsidR="004F4456">
        <w:rPr>
          <w:rFonts w:ascii="Times New Roman" w:hAnsi="Times New Roman" w:cs="Times New Roman"/>
          <w:sz w:val="28"/>
          <w:szCs w:val="28"/>
        </w:rPr>
        <w:t xml:space="preserve"> the need for expeditious resolution</w:t>
      </w:r>
      <w:r w:rsidR="00C12DF9">
        <w:rPr>
          <w:rFonts w:ascii="Times New Roman" w:hAnsi="Times New Roman" w:cs="Times New Roman"/>
          <w:sz w:val="28"/>
          <w:szCs w:val="28"/>
        </w:rPr>
        <w:t xml:space="preserve"> of industrial </w:t>
      </w:r>
      <w:r w:rsidR="00C12DF9">
        <w:rPr>
          <w:rFonts w:ascii="Times New Roman" w:hAnsi="Times New Roman" w:cs="Times New Roman"/>
          <w:sz w:val="28"/>
          <w:szCs w:val="28"/>
        </w:rPr>
        <w:lastRenderedPageBreak/>
        <w:t>disputes, thereby ensuring</w:t>
      </w:r>
      <w:r w:rsidR="004F4456">
        <w:rPr>
          <w:rFonts w:ascii="Times New Roman" w:hAnsi="Times New Roman" w:cs="Times New Roman"/>
          <w:sz w:val="28"/>
          <w:szCs w:val="28"/>
        </w:rPr>
        <w:t xml:space="preserve"> industrial harmony in order to attract </w:t>
      </w:r>
      <w:r w:rsidR="00C12DF9">
        <w:rPr>
          <w:rFonts w:ascii="Times New Roman" w:hAnsi="Times New Roman" w:cs="Times New Roman"/>
          <w:sz w:val="28"/>
          <w:szCs w:val="28"/>
        </w:rPr>
        <w:t xml:space="preserve">and retain </w:t>
      </w:r>
      <w:r w:rsidR="004F4456">
        <w:rPr>
          <w:rFonts w:ascii="Times New Roman" w:hAnsi="Times New Roman" w:cs="Times New Roman"/>
          <w:sz w:val="28"/>
          <w:szCs w:val="28"/>
        </w:rPr>
        <w:t>foreign investments</w:t>
      </w:r>
      <w:r w:rsidR="00C12DF9">
        <w:rPr>
          <w:rFonts w:ascii="Times New Roman" w:hAnsi="Times New Roman" w:cs="Times New Roman"/>
          <w:sz w:val="28"/>
          <w:szCs w:val="28"/>
        </w:rPr>
        <w:t>,</w:t>
      </w:r>
      <w:r w:rsidR="004F4456">
        <w:rPr>
          <w:rFonts w:ascii="Times New Roman" w:hAnsi="Times New Roman" w:cs="Times New Roman"/>
          <w:sz w:val="28"/>
          <w:szCs w:val="28"/>
        </w:rPr>
        <w:t xml:space="preserve"> and the attainment of economic growth.</w:t>
      </w:r>
    </w:p>
    <w:p w14:paraId="00F1E03C" w14:textId="77777777" w:rsidR="00D45AD2" w:rsidRDefault="00D45AD2" w:rsidP="000939F5">
      <w:pPr>
        <w:spacing w:after="0" w:line="360" w:lineRule="auto"/>
        <w:jc w:val="both"/>
        <w:rPr>
          <w:rFonts w:ascii="Times New Roman" w:hAnsi="Times New Roman" w:cs="Times New Roman"/>
          <w:sz w:val="28"/>
          <w:szCs w:val="28"/>
        </w:rPr>
      </w:pPr>
    </w:p>
    <w:p w14:paraId="20B3F4C8" w14:textId="7F940559" w:rsidR="002922E3" w:rsidRDefault="00D45AD2" w:rsidP="002922E3">
      <w:pPr>
        <w:spacing w:line="360" w:lineRule="auto"/>
        <w:jc w:val="both"/>
        <w:rPr>
          <w:rFonts w:ascii="Times New Roman" w:hAnsi="Times New Roman" w:cs="Times New Roman"/>
          <w:sz w:val="28"/>
          <w:szCs w:val="28"/>
          <w:lang w:bidi="he-IL"/>
        </w:rPr>
      </w:pPr>
      <w:r>
        <w:rPr>
          <w:rFonts w:ascii="Times New Roman" w:hAnsi="Times New Roman" w:cs="Times New Roman"/>
          <w:sz w:val="28"/>
          <w:szCs w:val="28"/>
        </w:rPr>
        <w:t>[3] Trade union</w:t>
      </w:r>
      <w:r w:rsidR="005764FD">
        <w:rPr>
          <w:rFonts w:ascii="Times New Roman" w:hAnsi="Times New Roman" w:cs="Times New Roman"/>
          <w:sz w:val="28"/>
          <w:szCs w:val="28"/>
        </w:rPr>
        <w:t xml:space="preserve">ism is at the heart of industrial relations. </w:t>
      </w:r>
      <w:r w:rsidR="006D1F60">
        <w:rPr>
          <w:rFonts w:ascii="Times New Roman" w:hAnsi="Times New Roman" w:cs="Times New Roman"/>
          <w:sz w:val="28"/>
          <w:szCs w:val="28"/>
        </w:rPr>
        <w:t>A t</w:t>
      </w:r>
      <w:r w:rsidR="005764FD">
        <w:rPr>
          <w:rFonts w:ascii="Times New Roman" w:hAnsi="Times New Roman" w:cs="Times New Roman"/>
          <w:sz w:val="28"/>
          <w:szCs w:val="28"/>
        </w:rPr>
        <w:t>rade union</w:t>
      </w:r>
      <w:r>
        <w:rPr>
          <w:rFonts w:ascii="Times New Roman" w:hAnsi="Times New Roman" w:cs="Times New Roman"/>
          <w:sz w:val="28"/>
          <w:szCs w:val="28"/>
        </w:rPr>
        <w:t xml:space="preserve"> is defined in the Trade Union Act (TUA) 2005 to mean “any combination of workers or employers, whether temporary or permanent, the purpose of which is to regulate the terms and conditions of employment of workers</w:t>
      </w:r>
      <w:r w:rsidR="00DA450A">
        <w:rPr>
          <w:rFonts w:ascii="Times New Roman" w:hAnsi="Times New Roman" w:cs="Times New Roman"/>
          <w:sz w:val="28"/>
          <w:szCs w:val="28"/>
        </w:rPr>
        <w:t>…</w:t>
      </w:r>
      <w:r w:rsidR="00A6645E">
        <w:rPr>
          <w:rFonts w:ascii="Times New Roman" w:hAnsi="Times New Roman" w:cs="Times New Roman"/>
          <w:sz w:val="28"/>
          <w:szCs w:val="28"/>
        </w:rPr>
        <w:t>.</w:t>
      </w:r>
      <w:r w:rsidR="005764FD">
        <w:rPr>
          <w:rStyle w:val="FootnoteReference"/>
          <w:rFonts w:ascii="Times New Roman" w:hAnsi="Times New Roman" w:cs="Times New Roman"/>
          <w:sz w:val="28"/>
          <w:szCs w:val="28"/>
        </w:rPr>
        <w:footnoteReference w:id="3"/>
      </w:r>
      <w:r w:rsidR="00A6645E">
        <w:rPr>
          <w:rFonts w:ascii="Times New Roman" w:hAnsi="Times New Roman" w:cs="Times New Roman"/>
          <w:sz w:val="28"/>
          <w:szCs w:val="28"/>
        </w:rPr>
        <w:t xml:space="preserve">” </w:t>
      </w:r>
      <w:r>
        <w:rPr>
          <w:rFonts w:ascii="Times New Roman" w:hAnsi="Times New Roman" w:cs="Times New Roman"/>
          <w:sz w:val="28"/>
          <w:szCs w:val="28"/>
        </w:rPr>
        <w:t>The trade unions provide employee representation</w:t>
      </w:r>
      <w:r w:rsidR="0012195A">
        <w:rPr>
          <w:rFonts w:ascii="Times New Roman" w:hAnsi="Times New Roman" w:cs="Times New Roman"/>
          <w:sz w:val="28"/>
          <w:szCs w:val="28"/>
        </w:rPr>
        <w:t xml:space="preserve"> for purposes of negotiating with management on issues such as wages, hours of work, overtime, health, safety, holidays. In the workplace, workers are represented by their </w:t>
      </w:r>
      <w:r w:rsidR="00DA450A">
        <w:rPr>
          <w:rFonts w:ascii="Times New Roman" w:hAnsi="Times New Roman" w:cs="Times New Roman"/>
          <w:sz w:val="28"/>
          <w:szCs w:val="28"/>
        </w:rPr>
        <w:t>trade union i</w:t>
      </w:r>
      <w:r w:rsidR="0012195A">
        <w:rPr>
          <w:rFonts w:ascii="Times New Roman" w:hAnsi="Times New Roman" w:cs="Times New Roman"/>
          <w:sz w:val="28"/>
          <w:szCs w:val="28"/>
        </w:rPr>
        <w:t>n disciplinary and grievance matters, workers councils or other consultative bodies for collective bargaining of terms and conditions of service.</w:t>
      </w:r>
      <w:r w:rsidR="00F127CA">
        <w:rPr>
          <w:rFonts w:ascii="Times New Roman" w:hAnsi="Times New Roman" w:cs="Times New Roman"/>
          <w:sz w:val="28"/>
          <w:szCs w:val="28"/>
        </w:rPr>
        <w:t xml:space="preserve"> </w:t>
      </w:r>
      <w:r w:rsidR="002922E3" w:rsidRPr="002922E3">
        <w:rPr>
          <w:rFonts w:ascii="Times New Roman" w:hAnsi="Times New Roman" w:cs="Times New Roman"/>
          <w:sz w:val="28"/>
          <w:szCs w:val="28"/>
          <w:lang w:bidi="he-IL"/>
        </w:rPr>
        <w:t xml:space="preserve">The right to trade unionism is a fundamental right of workers entrenched in the </w:t>
      </w:r>
      <w:r w:rsidR="00DA450A">
        <w:rPr>
          <w:rFonts w:ascii="Times New Roman" w:hAnsi="Times New Roman" w:cs="Times New Roman"/>
          <w:sz w:val="28"/>
          <w:szCs w:val="28"/>
          <w:lang w:bidi="he-IL"/>
        </w:rPr>
        <w:t>1999 Constitution as amended.</w:t>
      </w:r>
      <w:r w:rsidR="002922E3" w:rsidRPr="002922E3">
        <w:rPr>
          <w:rFonts w:ascii="Times New Roman" w:hAnsi="Times New Roman" w:cs="Times New Roman"/>
          <w:sz w:val="28"/>
          <w:szCs w:val="28"/>
          <w:lang w:bidi="he-IL"/>
        </w:rPr>
        <w:t xml:space="preserve"> The right is so important that employers are enjoined not to interfere with its exercise in any way. </w:t>
      </w:r>
    </w:p>
    <w:p w14:paraId="3836C2FF" w14:textId="2E34A696" w:rsidR="00CE7AB0" w:rsidRDefault="002922E3" w:rsidP="00FE3095">
      <w:pPr>
        <w:spacing w:line="36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[4] </w:t>
      </w:r>
      <w:r w:rsidRPr="002922E3">
        <w:rPr>
          <w:rFonts w:ascii="Times New Roman" w:hAnsi="Times New Roman" w:cs="Times New Roman"/>
          <w:sz w:val="28"/>
          <w:szCs w:val="28"/>
          <w:lang w:bidi="he-IL"/>
        </w:rPr>
        <w:t>An employer cannot compel workers to join a particular union; or form a union for the workers; or determine how a union is run or administered. The f</w:t>
      </w:r>
      <w:r>
        <w:rPr>
          <w:rFonts w:ascii="Times New Roman" w:hAnsi="Times New Roman" w:cs="Times New Roman"/>
          <w:sz w:val="28"/>
          <w:szCs w:val="28"/>
          <w:lang w:bidi="he-IL"/>
        </w:rPr>
        <w:t>undamental nature of the workers</w:t>
      </w:r>
      <w:r w:rsidRPr="002922E3">
        <w:rPr>
          <w:rFonts w:ascii="Times New Roman" w:hAnsi="Times New Roman" w:cs="Times New Roman"/>
          <w:sz w:val="28"/>
          <w:szCs w:val="28"/>
          <w:lang w:bidi="he-IL"/>
        </w:rPr>
        <w:t xml:space="preserve"> </w:t>
      </w:r>
      <w:r>
        <w:rPr>
          <w:rFonts w:ascii="Times New Roman" w:hAnsi="Times New Roman" w:cs="Times New Roman"/>
          <w:sz w:val="28"/>
          <w:szCs w:val="28"/>
          <w:lang w:bidi="he-IL"/>
        </w:rPr>
        <w:t>right i</w:t>
      </w:r>
      <w:r w:rsidRPr="002922E3">
        <w:rPr>
          <w:rFonts w:ascii="Times New Roman" w:hAnsi="Times New Roman" w:cs="Times New Roman"/>
          <w:sz w:val="28"/>
          <w:szCs w:val="28"/>
          <w:lang w:bidi="he-IL"/>
        </w:rPr>
        <w:t xml:space="preserve">s </w:t>
      </w:r>
      <w:r w:rsidR="00DA450A">
        <w:rPr>
          <w:rFonts w:ascii="Times New Roman" w:hAnsi="Times New Roman" w:cs="Times New Roman"/>
          <w:sz w:val="28"/>
          <w:szCs w:val="28"/>
          <w:lang w:bidi="he-IL"/>
        </w:rPr>
        <w:t xml:space="preserve">clearly stated </w:t>
      </w:r>
      <w:r w:rsidRPr="002922E3">
        <w:rPr>
          <w:rFonts w:ascii="Times New Roman" w:hAnsi="Times New Roman" w:cs="Times New Roman"/>
          <w:sz w:val="28"/>
          <w:szCs w:val="28"/>
          <w:lang w:bidi="he-IL"/>
        </w:rPr>
        <w:t xml:space="preserve">by </w:t>
      </w:r>
      <w:r>
        <w:rPr>
          <w:rFonts w:ascii="Times New Roman" w:hAnsi="Times New Roman" w:cs="Times New Roman"/>
          <w:sz w:val="28"/>
          <w:szCs w:val="28"/>
          <w:lang w:bidi="he-IL"/>
        </w:rPr>
        <w:t xml:space="preserve">the Court of Appeal </w:t>
      </w:r>
      <w:r w:rsidRPr="002922E3">
        <w:rPr>
          <w:rFonts w:ascii="Times New Roman" w:hAnsi="Times New Roman" w:cs="Times New Roman"/>
          <w:sz w:val="28"/>
          <w:szCs w:val="28"/>
          <w:lang w:bidi="he-IL"/>
        </w:rPr>
        <w:t xml:space="preserve">in </w:t>
      </w:r>
      <w:proofErr w:type="spellStart"/>
      <w:r w:rsidRPr="002922E3">
        <w:rPr>
          <w:rFonts w:ascii="Times New Roman" w:hAnsi="Times New Roman" w:cs="Times New Roman"/>
          <w:i/>
          <w:iCs/>
          <w:sz w:val="28"/>
          <w:szCs w:val="28"/>
          <w:lang w:bidi="he-IL"/>
        </w:rPr>
        <w:t>Panya</w:t>
      </w:r>
      <w:proofErr w:type="spellEnd"/>
      <w:r w:rsidRPr="002922E3">
        <w:rPr>
          <w:rFonts w:ascii="Times New Roman" w:hAnsi="Times New Roman" w:cs="Times New Roman"/>
          <w:i/>
          <w:iCs/>
          <w:sz w:val="28"/>
          <w:szCs w:val="28"/>
          <w:lang w:bidi="he-IL"/>
        </w:rPr>
        <w:t xml:space="preserve"> </w:t>
      </w:r>
      <w:proofErr w:type="spellStart"/>
      <w:r w:rsidRPr="002922E3">
        <w:rPr>
          <w:rFonts w:ascii="Times New Roman" w:hAnsi="Times New Roman" w:cs="Times New Roman"/>
          <w:i/>
          <w:iCs/>
          <w:sz w:val="28"/>
          <w:szCs w:val="28"/>
          <w:lang w:bidi="he-IL"/>
        </w:rPr>
        <w:t>Anigboro</w:t>
      </w:r>
      <w:proofErr w:type="spellEnd"/>
      <w:r w:rsidRPr="002922E3">
        <w:rPr>
          <w:rFonts w:ascii="Times New Roman" w:hAnsi="Times New Roman" w:cs="Times New Roman"/>
          <w:i/>
          <w:iCs/>
          <w:sz w:val="28"/>
          <w:szCs w:val="28"/>
          <w:lang w:bidi="he-IL"/>
        </w:rPr>
        <w:t xml:space="preserve"> </w:t>
      </w:r>
      <w:r w:rsidRPr="002922E3">
        <w:rPr>
          <w:rFonts w:ascii="Times New Roman" w:hAnsi="Times New Roman" w:cs="Times New Roman"/>
          <w:i/>
          <w:sz w:val="28"/>
          <w:szCs w:val="28"/>
          <w:lang w:bidi="he-IL"/>
        </w:rPr>
        <w:t xml:space="preserve">v. </w:t>
      </w:r>
      <w:r w:rsidRPr="002922E3">
        <w:rPr>
          <w:rFonts w:ascii="Times New Roman" w:hAnsi="Times New Roman" w:cs="Times New Roman"/>
          <w:i/>
          <w:iCs/>
          <w:sz w:val="28"/>
          <w:szCs w:val="28"/>
          <w:lang w:bidi="he-IL"/>
        </w:rPr>
        <w:t>Sea Trucks Nigeria Ltd</w:t>
      </w:r>
      <w:r>
        <w:rPr>
          <w:rFonts w:ascii="Times New Roman" w:hAnsi="Times New Roman" w:cs="Times New Roman"/>
          <w:i/>
          <w:iCs/>
          <w:sz w:val="28"/>
          <w:szCs w:val="28"/>
          <w:lang w:bidi="he-IL"/>
        </w:rPr>
        <w:t>.</w:t>
      </w:r>
      <w:r w:rsidRPr="002922E3">
        <w:rPr>
          <w:rStyle w:val="FootnoteReference"/>
          <w:rFonts w:ascii="Times New Roman" w:hAnsi="Times New Roman" w:cs="Times New Roman"/>
          <w:i/>
          <w:iCs/>
          <w:sz w:val="28"/>
          <w:szCs w:val="28"/>
          <w:lang w:bidi="he-IL"/>
        </w:rPr>
        <w:footnoteReference w:id="4"/>
      </w:r>
      <w:r w:rsidRPr="002922E3">
        <w:rPr>
          <w:rFonts w:ascii="Times New Roman" w:hAnsi="Times New Roman" w:cs="Times New Roman"/>
          <w:i/>
          <w:iCs/>
          <w:sz w:val="28"/>
          <w:szCs w:val="28"/>
          <w:lang w:bidi="he-IL"/>
        </w:rPr>
        <w:t xml:space="preserve"> </w:t>
      </w:r>
      <w:r w:rsidR="00F127CA">
        <w:rPr>
          <w:rFonts w:ascii="Times New Roman" w:hAnsi="Times New Roman" w:cs="Times New Roman"/>
          <w:sz w:val="28"/>
          <w:szCs w:val="28"/>
        </w:rPr>
        <w:t xml:space="preserve">The agents of change in industrial relations are usually trade unions, employers of </w:t>
      </w:r>
      <w:proofErr w:type="spellStart"/>
      <w:r w:rsidR="00F127CA">
        <w:rPr>
          <w:rFonts w:ascii="Times New Roman" w:hAnsi="Times New Roman" w:cs="Times New Roman"/>
          <w:sz w:val="28"/>
          <w:szCs w:val="28"/>
        </w:rPr>
        <w:t>labour</w:t>
      </w:r>
      <w:proofErr w:type="spellEnd"/>
      <w:r w:rsidR="00F127CA">
        <w:rPr>
          <w:rFonts w:ascii="Times New Roman" w:hAnsi="Times New Roman" w:cs="Times New Roman"/>
          <w:sz w:val="28"/>
          <w:szCs w:val="28"/>
        </w:rPr>
        <w:t xml:space="preserve"> and their organizations, government through legislation and administrative actions, and the system of court designed to resolve dispu</w:t>
      </w:r>
      <w:r w:rsidR="00FE3095">
        <w:rPr>
          <w:rFonts w:ascii="Times New Roman" w:hAnsi="Times New Roman" w:cs="Times New Roman"/>
          <w:sz w:val="28"/>
          <w:szCs w:val="28"/>
        </w:rPr>
        <w:t>tes. Specialized courts like</w:t>
      </w:r>
      <w:r w:rsidR="00F127CA">
        <w:rPr>
          <w:rFonts w:ascii="Times New Roman" w:hAnsi="Times New Roman" w:cs="Times New Roman"/>
          <w:sz w:val="28"/>
          <w:szCs w:val="28"/>
        </w:rPr>
        <w:t xml:space="preserve"> </w:t>
      </w:r>
      <w:proofErr w:type="spellStart"/>
      <w:r w:rsidR="00F127CA">
        <w:rPr>
          <w:rFonts w:ascii="Times New Roman" w:hAnsi="Times New Roman" w:cs="Times New Roman"/>
          <w:sz w:val="28"/>
          <w:szCs w:val="28"/>
        </w:rPr>
        <w:t>labour</w:t>
      </w:r>
      <w:proofErr w:type="spellEnd"/>
      <w:r w:rsidR="00F127CA">
        <w:rPr>
          <w:rFonts w:ascii="Times New Roman" w:hAnsi="Times New Roman" w:cs="Times New Roman"/>
          <w:sz w:val="28"/>
          <w:szCs w:val="28"/>
        </w:rPr>
        <w:t xml:space="preserve"> and industrial courts are </w:t>
      </w:r>
      <w:r w:rsidR="00FE3095">
        <w:rPr>
          <w:rFonts w:ascii="Times New Roman" w:hAnsi="Times New Roman" w:cs="Times New Roman"/>
          <w:sz w:val="28"/>
          <w:szCs w:val="28"/>
        </w:rPr>
        <w:t xml:space="preserve"> established</w:t>
      </w:r>
      <w:r w:rsidR="00F127CA">
        <w:rPr>
          <w:rFonts w:ascii="Times New Roman" w:hAnsi="Times New Roman" w:cs="Times New Roman"/>
          <w:sz w:val="28"/>
          <w:szCs w:val="28"/>
        </w:rPr>
        <w:t xml:space="preserve"> to deal with </w:t>
      </w:r>
      <w:proofErr w:type="spellStart"/>
      <w:r w:rsidR="00F127CA">
        <w:rPr>
          <w:rFonts w:ascii="Times New Roman" w:hAnsi="Times New Roman" w:cs="Times New Roman"/>
          <w:sz w:val="28"/>
          <w:szCs w:val="28"/>
        </w:rPr>
        <w:t>labour</w:t>
      </w:r>
      <w:proofErr w:type="spellEnd"/>
      <w:r w:rsidR="00F127CA">
        <w:rPr>
          <w:rFonts w:ascii="Times New Roman" w:hAnsi="Times New Roman" w:cs="Times New Roman"/>
          <w:sz w:val="28"/>
          <w:szCs w:val="28"/>
        </w:rPr>
        <w:t>/industrial relations disputes.</w:t>
      </w:r>
    </w:p>
    <w:p w14:paraId="49FD6462" w14:textId="77777777" w:rsidR="00F25A38" w:rsidRDefault="00F25A38" w:rsidP="000939F5">
      <w:pPr>
        <w:spacing w:after="0" w:line="360" w:lineRule="auto"/>
        <w:jc w:val="both"/>
        <w:rPr>
          <w:rFonts w:ascii="Times New Roman" w:hAnsi="Times New Roman" w:cs="Times New Roman"/>
          <w:b/>
          <w:sz w:val="26"/>
          <w:szCs w:val="26"/>
          <w:u w:val="single"/>
        </w:rPr>
      </w:pPr>
    </w:p>
    <w:p w14:paraId="4C840F34" w14:textId="3C1BEC80" w:rsidR="003D2082" w:rsidRPr="0044283C" w:rsidRDefault="00F62547" w:rsidP="000939F5">
      <w:pPr>
        <w:spacing w:after="0" w:line="360" w:lineRule="auto"/>
        <w:jc w:val="both"/>
        <w:rPr>
          <w:rFonts w:ascii="Times New Roman" w:hAnsi="Times New Roman" w:cs="Times New Roman"/>
          <w:b/>
          <w:sz w:val="26"/>
          <w:szCs w:val="26"/>
          <w:u w:val="single"/>
        </w:rPr>
      </w:pPr>
      <w:r w:rsidRPr="0044283C">
        <w:rPr>
          <w:rFonts w:ascii="Times New Roman" w:hAnsi="Times New Roman" w:cs="Times New Roman"/>
          <w:b/>
          <w:sz w:val="26"/>
          <w:szCs w:val="26"/>
          <w:u w:val="single"/>
        </w:rPr>
        <w:t xml:space="preserve">ESTABLISHMENT OF THE </w:t>
      </w:r>
      <w:r w:rsidR="000F04EE">
        <w:rPr>
          <w:rFonts w:ascii="Times New Roman" w:hAnsi="Times New Roman" w:cs="Times New Roman"/>
          <w:b/>
          <w:sz w:val="26"/>
          <w:szCs w:val="26"/>
          <w:u w:val="single"/>
        </w:rPr>
        <w:t>NIC,</w:t>
      </w:r>
      <w:r w:rsidR="00BD1C8F">
        <w:rPr>
          <w:rFonts w:ascii="Times New Roman" w:hAnsi="Times New Roman" w:cs="Times New Roman"/>
          <w:b/>
          <w:sz w:val="26"/>
          <w:szCs w:val="26"/>
          <w:u w:val="single"/>
        </w:rPr>
        <w:t xml:space="preserve"> AND THE </w:t>
      </w:r>
      <w:r w:rsidRPr="0044283C">
        <w:rPr>
          <w:rFonts w:ascii="Times New Roman" w:hAnsi="Times New Roman" w:cs="Times New Roman"/>
          <w:b/>
          <w:sz w:val="26"/>
          <w:szCs w:val="26"/>
          <w:u w:val="single"/>
        </w:rPr>
        <w:t>NIC</w:t>
      </w:r>
      <w:r w:rsidR="00B22BEE" w:rsidRPr="0044283C">
        <w:rPr>
          <w:rFonts w:ascii="Times New Roman" w:hAnsi="Times New Roman" w:cs="Times New Roman"/>
          <w:b/>
          <w:sz w:val="26"/>
          <w:szCs w:val="26"/>
          <w:u w:val="single"/>
        </w:rPr>
        <w:t>N</w:t>
      </w:r>
    </w:p>
    <w:p w14:paraId="7D8ED641" w14:textId="77777777" w:rsidR="00B434DF" w:rsidRDefault="00B434DF" w:rsidP="000939F5">
      <w:pPr>
        <w:spacing w:after="0" w:line="360" w:lineRule="auto"/>
        <w:jc w:val="both"/>
        <w:rPr>
          <w:rFonts w:ascii="Times New Roman" w:hAnsi="Times New Roman" w:cs="Times New Roman"/>
          <w:b/>
          <w:sz w:val="26"/>
          <w:szCs w:val="26"/>
          <w:u w:val="single"/>
        </w:rPr>
      </w:pPr>
    </w:p>
    <w:p w14:paraId="5C20763A" w14:textId="3D24D285" w:rsidR="00BD1C8F" w:rsidRDefault="00A6645E"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00F62547" w:rsidRPr="00B22BEE">
        <w:rPr>
          <w:rFonts w:ascii="Times New Roman" w:hAnsi="Times New Roman" w:cs="Times New Roman"/>
          <w:sz w:val="28"/>
          <w:szCs w:val="28"/>
        </w:rPr>
        <w:t xml:space="preserve">] </w:t>
      </w:r>
      <w:r w:rsidR="00B22BEE" w:rsidRPr="00B22BEE">
        <w:rPr>
          <w:rFonts w:ascii="Times New Roman" w:hAnsi="Times New Roman" w:cs="Times New Roman"/>
          <w:sz w:val="28"/>
          <w:szCs w:val="28"/>
        </w:rPr>
        <w:t>The National Industrial Court</w:t>
      </w:r>
      <w:r w:rsidR="00D87798">
        <w:rPr>
          <w:rFonts w:ascii="Times New Roman" w:hAnsi="Times New Roman" w:cs="Times New Roman"/>
          <w:sz w:val="28"/>
          <w:szCs w:val="28"/>
        </w:rPr>
        <w:t xml:space="preserve"> (NIC)</w:t>
      </w:r>
      <w:r w:rsidR="00B22BEE" w:rsidRPr="00B22BEE">
        <w:rPr>
          <w:rFonts w:ascii="Times New Roman" w:hAnsi="Times New Roman" w:cs="Times New Roman"/>
          <w:sz w:val="28"/>
          <w:szCs w:val="28"/>
        </w:rPr>
        <w:t xml:space="preserve"> was </w:t>
      </w:r>
      <w:r w:rsidR="00B22BEE">
        <w:rPr>
          <w:rFonts w:ascii="Times New Roman" w:hAnsi="Times New Roman" w:cs="Times New Roman"/>
          <w:sz w:val="28"/>
          <w:szCs w:val="28"/>
        </w:rPr>
        <w:t>first established by the Tra</w:t>
      </w:r>
      <w:r w:rsidR="00D87798">
        <w:rPr>
          <w:rFonts w:ascii="Times New Roman" w:hAnsi="Times New Roman" w:cs="Times New Roman"/>
          <w:sz w:val="28"/>
          <w:szCs w:val="28"/>
        </w:rPr>
        <w:t>de Disputes Decree No 7 of 1976 that</w:t>
      </w:r>
      <w:r w:rsidR="00B22BEE">
        <w:rPr>
          <w:rFonts w:ascii="Times New Roman" w:hAnsi="Times New Roman" w:cs="Times New Roman"/>
          <w:sz w:val="28"/>
          <w:szCs w:val="28"/>
        </w:rPr>
        <w:t xml:space="preserve"> later became the Trade Disputes Act (TDA) Cap T8 Laws of the Federation of Nigeria, 2004.</w:t>
      </w:r>
      <w:r w:rsidR="00D87798">
        <w:rPr>
          <w:rFonts w:ascii="Times New Roman" w:hAnsi="Times New Roman" w:cs="Times New Roman"/>
          <w:sz w:val="28"/>
          <w:szCs w:val="28"/>
        </w:rPr>
        <w:t xml:space="preserve"> To correct the seeming shortcomings of the NIC </w:t>
      </w:r>
      <w:r w:rsidR="00A8463A">
        <w:rPr>
          <w:rFonts w:ascii="Times New Roman" w:hAnsi="Times New Roman" w:cs="Times New Roman"/>
          <w:sz w:val="28"/>
          <w:szCs w:val="28"/>
        </w:rPr>
        <w:t>established under the Trade Disputes Act in terms of its jurisdiction,</w:t>
      </w:r>
      <w:r w:rsidR="00D87798">
        <w:rPr>
          <w:rFonts w:ascii="Times New Roman" w:hAnsi="Times New Roman" w:cs="Times New Roman"/>
          <w:sz w:val="28"/>
          <w:szCs w:val="28"/>
        </w:rPr>
        <w:t xml:space="preserve"> powers</w:t>
      </w:r>
      <w:r w:rsidR="00A8463A">
        <w:rPr>
          <w:rFonts w:ascii="Times New Roman" w:hAnsi="Times New Roman" w:cs="Times New Roman"/>
          <w:sz w:val="28"/>
          <w:szCs w:val="28"/>
        </w:rPr>
        <w:t xml:space="preserve"> and appointment of Judges,</w:t>
      </w:r>
      <w:r w:rsidR="00D87798">
        <w:rPr>
          <w:rFonts w:ascii="Times New Roman" w:hAnsi="Times New Roman" w:cs="Times New Roman"/>
          <w:sz w:val="28"/>
          <w:szCs w:val="28"/>
        </w:rPr>
        <w:t xml:space="preserve"> the National Industrial Court Act (NICA) 2006 was enacted and it came into force on 14</w:t>
      </w:r>
      <w:r w:rsidR="00D87798" w:rsidRPr="00D87798">
        <w:rPr>
          <w:rFonts w:ascii="Times New Roman" w:hAnsi="Times New Roman" w:cs="Times New Roman"/>
          <w:sz w:val="28"/>
          <w:szCs w:val="28"/>
          <w:vertAlign w:val="superscript"/>
        </w:rPr>
        <w:t>th</w:t>
      </w:r>
      <w:r w:rsidR="00D87798">
        <w:rPr>
          <w:rFonts w:ascii="Times New Roman" w:hAnsi="Times New Roman" w:cs="Times New Roman"/>
          <w:sz w:val="28"/>
          <w:szCs w:val="28"/>
        </w:rPr>
        <w:t xml:space="preserve"> June 2006.</w:t>
      </w:r>
      <w:r w:rsidR="00A8463A">
        <w:rPr>
          <w:rFonts w:ascii="Times New Roman" w:hAnsi="Times New Roman" w:cs="Times New Roman"/>
          <w:sz w:val="28"/>
          <w:szCs w:val="28"/>
        </w:rPr>
        <w:t xml:space="preserve"> The NIC was taken out of t</w:t>
      </w:r>
      <w:r w:rsidR="00EA6E8C">
        <w:rPr>
          <w:rFonts w:ascii="Times New Roman" w:hAnsi="Times New Roman" w:cs="Times New Roman"/>
          <w:sz w:val="28"/>
          <w:szCs w:val="28"/>
        </w:rPr>
        <w:t>he TDA and</w:t>
      </w:r>
      <w:r w:rsidR="00A8463A">
        <w:rPr>
          <w:rFonts w:ascii="Times New Roman" w:hAnsi="Times New Roman" w:cs="Times New Roman"/>
          <w:sz w:val="28"/>
          <w:szCs w:val="28"/>
        </w:rPr>
        <w:t xml:space="preserve"> Part II of the TDA was repealed</w:t>
      </w:r>
      <w:r w:rsidR="00EA6E8C">
        <w:rPr>
          <w:rFonts w:ascii="Times New Roman" w:hAnsi="Times New Roman" w:cs="Times New Roman"/>
          <w:sz w:val="28"/>
          <w:szCs w:val="28"/>
        </w:rPr>
        <w:t>,</w:t>
      </w:r>
      <w:r w:rsidR="00A8463A">
        <w:rPr>
          <w:rStyle w:val="FootnoteReference"/>
          <w:rFonts w:ascii="Times New Roman" w:hAnsi="Times New Roman" w:cs="Times New Roman"/>
          <w:sz w:val="28"/>
          <w:szCs w:val="28"/>
        </w:rPr>
        <w:footnoteReference w:id="5"/>
      </w:r>
      <w:r w:rsidR="002840FD">
        <w:rPr>
          <w:rFonts w:ascii="Times New Roman" w:hAnsi="Times New Roman" w:cs="Times New Roman"/>
          <w:sz w:val="28"/>
          <w:szCs w:val="28"/>
        </w:rPr>
        <w:t xml:space="preserve"> while the remaining provisions were made subject to the NICA 2006. </w:t>
      </w:r>
      <w:r w:rsidR="00277A79">
        <w:rPr>
          <w:rFonts w:ascii="Times New Roman" w:hAnsi="Times New Roman" w:cs="Times New Roman"/>
          <w:sz w:val="28"/>
          <w:szCs w:val="28"/>
        </w:rPr>
        <w:t xml:space="preserve">The Court was </w:t>
      </w:r>
      <w:r w:rsidR="00BD1C8F">
        <w:rPr>
          <w:rFonts w:ascii="Times New Roman" w:hAnsi="Times New Roman" w:cs="Times New Roman"/>
          <w:sz w:val="28"/>
          <w:szCs w:val="28"/>
        </w:rPr>
        <w:t xml:space="preserve">established in the NICA 2006 as a superior court of record having all the powers of a High Court; and </w:t>
      </w:r>
      <w:r w:rsidR="00277A79">
        <w:rPr>
          <w:rFonts w:ascii="Times New Roman" w:hAnsi="Times New Roman" w:cs="Times New Roman"/>
          <w:sz w:val="28"/>
          <w:szCs w:val="28"/>
        </w:rPr>
        <w:t>conferred with exclusive jurisdiction</w:t>
      </w:r>
      <w:r w:rsidR="00BD1C8F">
        <w:rPr>
          <w:rFonts w:ascii="Times New Roman" w:hAnsi="Times New Roman" w:cs="Times New Roman"/>
          <w:sz w:val="28"/>
          <w:szCs w:val="28"/>
        </w:rPr>
        <w:t xml:space="preserve"> in civil causes</w:t>
      </w:r>
      <w:r w:rsidR="00277A79">
        <w:rPr>
          <w:rFonts w:ascii="Times New Roman" w:hAnsi="Times New Roman" w:cs="Times New Roman"/>
          <w:sz w:val="28"/>
          <w:szCs w:val="28"/>
        </w:rPr>
        <w:t xml:space="preserve"> and </w:t>
      </w:r>
      <w:r w:rsidR="00BD1C8F">
        <w:rPr>
          <w:rFonts w:ascii="Times New Roman" w:hAnsi="Times New Roman" w:cs="Times New Roman"/>
          <w:sz w:val="28"/>
          <w:szCs w:val="28"/>
        </w:rPr>
        <w:t xml:space="preserve">matters relating to </w:t>
      </w:r>
      <w:proofErr w:type="spellStart"/>
      <w:r w:rsidR="00BD1C8F">
        <w:rPr>
          <w:rFonts w:ascii="Times New Roman" w:hAnsi="Times New Roman" w:cs="Times New Roman"/>
          <w:sz w:val="28"/>
          <w:szCs w:val="28"/>
        </w:rPr>
        <w:t>labour</w:t>
      </w:r>
      <w:proofErr w:type="spellEnd"/>
      <w:r w:rsidR="00BD1C8F">
        <w:rPr>
          <w:rFonts w:ascii="Times New Roman" w:hAnsi="Times New Roman" w:cs="Times New Roman"/>
          <w:sz w:val="28"/>
          <w:szCs w:val="28"/>
        </w:rPr>
        <w:t xml:space="preserve">, trade unions and industrial relations, environment and conditions of work, health, safety and welfare of </w:t>
      </w:r>
      <w:proofErr w:type="spellStart"/>
      <w:r w:rsidR="00BD1C8F">
        <w:rPr>
          <w:rFonts w:ascii="Times New Roman" w:hAnsi="Times New Roman" w:cs="Times New Roman"/>
          <w:sz w:val="28"/>
          <w:szCs w:val="28"/>
        </w:rPr>
        <w:t>labour</w:t>
      </w:r>
      <w:proofErr w:type="spellEnd"/>
      <w:r w:rsidR="00BD1C8F">
        <w:rPr>
          <w:rFonts w:ascii="Times New Roman" w:hAnsi="Times New Roman" w:cs="Times New Roman"/>
          <w:sz w:val="28"/>
          <w:szCs w:val="28"/>
        </w:rPr>
        <w:t>.</w:t>
      </w:r>
    </w:p>
    <w:p w14:paraId="7FAE4F8C" w14:textId="77777777" w:rsidR="00BD1C8F" w:rsidRDefault="00BD1C8F" w:rsidP="000939F5">
      <w:pPr>
        <w:spacing w:after="0" w:line="360" w:lineRule="auto"/>
        <w:jc w:val="both"/>
        <w:rPr>
          <w:rFonts w:ascii="Times New Roman" w:hAnsi="Times New Roman" w:cs="Times New Roman"/>
          <w:sz w:val="28"/>
          <w:szCs w:val="28"/>
        </w:rPr>
      </w:pPr>
    </w:p>
    <w:p w14:paraId="72E1CF50" w14:textId="2037A22F" w:rsidR="00BD1C8F" w:rsidRDefault="00A6645E"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D430E">
        <w:rPr>
          <w:rFonts w:ascii="Times New Roman" w:hAnsi="Times New Roman" w:cs="Times New Roman"/>
          <w:sz w:val="28"/>
          <w:szCs w:val="28"/>
        </w:rPr>
        <w:t>] The NIC</w:t>
      </w:r>
      <w:r w:rsidR="00BD1C8F">
        <w:rPr>
          <w:rFonts w:ascii="Times New Roman" w:hAnsi="Times New Roman" w:cs="Times New Roman"/>
          <w:sz w:val="28"/>
          <w:szCs w:val="28"/>
        </w:rPr>
        <w:t xml:space="preserve"> was also conferred with </w:t>
      </w:r>
      <w:r w:rsidR="00277A79">
        <w:rPr>
          <w:rFonts w:ascii="Times New Roman" w:hAnsi="Times New Roman" w:cs="Times New Roman"/>
          <w:sz w:val="28"/>
          <w:szCs w:val="28"/>
        </w:rPr>
        <w:t>powers to grant an order to restrain any person or body from taking part in any strike, lockout, or any industrial action or conduct in contemplation or in furtherance of a strike</w:t>
      </w:r>
      <w:r w:rsidR="00277A79">
        <w:rPr>
          <w:rStyle w:val="FootnoteReference"/>
          <w:rFonts w:ascii="Times New Roman" w:hAnsi="Times New Roman" w:cs="Times New Roman"/>
          <w:sz w:val="28"/>
          <w:szCs w:val="28"/>
        </w:rPr>
        <w:footnoteReference w:id="6"/>
      </w:r>
      <w:r w:rsidR="00277A79">
        <w:rPr>
          <w:rFonts w:ascii="Times New Roman" w:hAnsi="Times New Roman" w:cs="Times New Roman"/>
          <w:sz w:val="28"/>
          <w:szCs w:val="28"/>
        </w:rPr>
        <w:t xml:space="preserve">. </w:t>
      </w:r>
      <w:r w:rsidR="004D430E">
        <w:rPr>
          <w:rFonts w:ascii="Times New Roman" w:hAnsi="Times New Roman" w:cs="Times New Roman"/>
          <w:sz w:val="28"/>
          <w:szCs w:val="28"/>
        </w:rPr>
        <w:t>However,</w:t>
      </w:r>
      <w:r w:rsidR="00CC6560">
        <w:rPr>
          <w:rFonts w:ascii="Times New Roman" w:hAnsi="Times New Roman" w:cs="Times New Roman"/>
          <w:sz w:val="28"/>
          <w:szCs w:val="28"/>
        </w:rPr>
        <w:t xml:space="preserve"> </w:t>
      </w:r>
      <w:r w:rsidR="004D430E">
        <w:rPr>
          <w:rFonts w:ascii="Times New Roman" w:hAnsi="Times New Roman" w:cs="Times New Roman"/>
          <w:sz w:val="28"/>
          <w:szCs w:val="28"/>
        </w:rPr>
        <w:t>t</w:t>
      </w:r>
      <w:r w:rsidR="002840FD">
        <w:rPr>
          <w:rFonts w:ascii="Times New Roman" w:hAnsi="Times New Roman" w:cs="Times New Roman"/>
          <w:sz w:val="28"/>
          <w:szCs w:val="28"/>
        </w:rPr>
        <w:t>here were still grey areas in the NICA 2006 particularly the intractable problem of exclusivity of jurisdiction a</w:t>
      </w:r>
      <w:r w:rsidR="00FE418C">
        <w:rPr>
          <w:rFonts w:ascii="Times New Roman" w:hAnsi="Times New Roman" w:cs="Times New Roman"/>
          <w:sz w:val="28"/>
          <w:szCs w:val="28"/>
        </w:rPr>
        <w:t>nd the status of the Court that</w:t>
      </w:r>
      <w:r w:rsidR="002840FD">
        <w:rPr>
          <w:rFonts w:ascii="Times New Roman" w:hAnsi="Times New Roman" w:cs="Times New Roman"/>
          <w:sz w:val="28"/>
          <w:szCs w:val="28"/>
        </w:rPr>
        <w:t xml:space="preserve"> came to the fore in the </w:t>
      </w:r>
      <w:r w:rsidR="00CC6560">
        <w:rPr>
          <w:rFonts w:ascii="Times New Roman" w:hAnsi="Times New Roman" w:cs="Times New Roman"/>
          <w:sz w:val="28"/>
          <w:szCs w:val="28"/>
        </w:rPr>
        <w:t xml:space="preserve">Apex Court decision in </w:t>
      </w:r>
      <w:r w:rsidR="00982EE8" w:rsidRPr="00C32296">
        <w:rPr>
          <w:rFonts w:ascii="Times New Roman" w:hAnsi="Times New Roman" w:cs="Times New Roman"/>
          <w:i/>
          <w:sz w:val="28"/>
          <w:szCs w:val="28"/>
        </w:rPr>
        <w:t>National U</w:t>
      </w:r>
      <w:r w:rsidR="00FE418C" w:rsidRPr="00C32296">
        <w:rPr>
          <w:rFonts w:ascii="Times New Roman" w:hAnsi="Times New Roman" w:cs="Times New Roman"/>
          <w:i/>
          <w:sz w:val="28"/>
          <w:szCs w:val="28"/>
        </w:rPr>
        <w:t>nion of Electricity Employee</w:t>
      </w:r>
      <w:r w:rsidR="00BD1C8F">
        <w:rPr>
          <w:rFonts w:ascii="Times New Roman" w:hAnsi="Times New Roman" w:cs="Times New Roman"/>
          <w:i/>
          <w:sz w:val="28"/>
          <w:szCs w:val="28"/>
        </w:rPr>
        <w:t>s v Bureau of Public Enterprise</w:t>
      </w:r>
      <w:r w:rsidR="00FE418C">
        <w:rPr>
          <w:rStyle w:val="FootnoteReference"/>
          <w:rFonts w:ascii="Times New Roman" w:hAnsi="Times New Roman" w:cs="Times New Roman"/>
          <w:sz w:val="28"/>
          <w:szCs w:val="28"/>
        </w:rPr>
        <w:footnoteReference w:id="7"/>
      </w:r>
      <w:r w:rsidR="00BD1C8F">
        <w:rPr>
          <w:rFonts w:ascii="Times New Roman" w:hAnsi="Times New Roman" w:cs="Times New Roman"/>
          <w:i/>
          <w:sz w:val="28"/>
          <w:szCs w:val="28"/>
        </w:rPr>
        <w:t xml:space="preserve"> </w:t>
      </w:r>
      <w:r w:rsidR="00BD1C8F">
        <w:rPr>
          <w:rFonts w:ascii="Times New Roman" w:hAnsi="Times New Roman" w:cs="Times New Roman"/>
          <w:sz w:val="28"/>
          <w:szCs w:val="28"/>
        </w:rPr>
        <w:t xml:space="preserve">where it </w:t>
      </w:r>
      <w:r w:rsidR="004D430E">
        <w:rPr>
          <w:rFonts w:ascii="Times New Roman" w:hAnsi="Times New Roman" w:cs="Times New Roman"/>
          <w:sz w:val="28"/>
          <w:szCs w:val="28"/>
        </w:rPr>
        <w:t xml:space="preserve">was </w:t>
      </w:r>
      <w:r w:rsidR="00BD1C8F">
        <w:rPr>
          <w:rFonts w:ascii="Times New Roman" w:hAnsi="Times New Roman" w:cs="Times New Roman"/>
          <w:sz w:val="28"/>
          <w:szCs w:val="28"/>
        </w:rPr>
        <w:t>held that the NIC was not listed among the superior courts of record in the 1999 Constitution and recommended the National Assembly to expressly define the status of the Court in the Constitution. The</w:t>
      </w:r>
      <w:r w:rsidR="00201D8D">
        <w:rPr>
          <w:rFonts w:ascii="Times New Roman" w:hAnsi="Times New Roman" w:cs="Times New Roman"/>
          <w:sz w:val="28"/>
          <w:szCs w:val="28"/>
        </w:rPr>
        <w:t xml:space="preserve"> necessity to establish a specialized court </w:t>
      </w:r>
      <w:r w:rsidR="00BD1C8F">
        <w:rPr>
          <w:rFonts w:ascii="Times New Roman" w:hAnsi="Times New Roman" w:cs="Times New Roman"/>
          <w:sz w:val="28"/>
          <w:szCs w:val="28"/>
        </w:rPr>
        <w:t xml:space="preserve">in the Constitution </w:t>
      </w:r>
      <w:r w:rsidR="00201D8D">
        <w:rPr>
          <w:rFonts w:ascii="Times New Roman" w:hAnsi="Times New Roman" w:cs="Times New Roman"/>
          <w:sz w:val="28"/>
          <w:szCs w:val="28"/>
        </w:rPr>
        <w:t>with exclusi</w:t>
      </w:r>
      <w:r w:rsidR="004D430E">
        <w:rPr>
          <w:rFonts w:ascii="Times New Roman" w:hAnsi="Times New Roman" w:cs="Times New Roman"/>
          <w:sz w:val="28"/>
          <w:szCs w:val="28"/>
        </w:rPr>
        <w:t>ve jurisdiction to</w:t>
      </w:r>
      <w:r w:rsidR="00201D8D">
        <w:rPr>
          <w:rFonts w:ascii="Times New Roman" w:hAnsi="Times New Roman" w:cs="Times New Roman"/>
          <w:sz w:val="28"/>
          <w:szCs w:val="28"/>
        </w:rPr>
        <w:t xml:space="preserve"> hear and determine </w:t>
      </w:r>
      <w:proofErr w:type="spellStart"/>
      <w:r w:rsidR="00084C49">
        <w:rPr>
          <w:rFonts w:ascii="Times New Roman" w:hAnsi="Times New Roman" w:cs="Times New Roman"/>
          <w:sz w:val="28"/>
          <w:szCs w:val="28"/>
        </w:rPr>
        <w:t>labour</w:t>
      </w:r>
      <w:proofErr w:type="spellEnd"/>
      <w:r w:rsidR="00084C49">
        <w:rPr>
          <w:rFonts w:ascii="Times New Roman" w:hAnsi="Times New Roman" w:cs="Times New Roman"/>
          <w:sz w:val="28"/>
          <w:szCs w:val="28"/>
        </w:rPr>
        <w:t>, employment, workplace and other industrial relations disputes as is the case in</w:t>
      </w:r>
      <w:r w:rsidR="00A35580">
        <w:rPr>
          <w:rFonts w:ascii="Times New Roman" w:hAnsi="Times New Roman" w:cs="Times New Roman"/>
          <w:sz w:val="28"/>
          <w:szCs w:val="28"/>
        </w:rPr>
        <w:t xml:space="preserve"> </w:t>
      </w:r>
      <w:r w:rsidR="00CC6560">
        <w:rPr>
          <w:rFonts w:ascii="Times New Roman" w:hAnsi="Times New Roman" w:cs="Times New Roman"/>
          <w:sz w:val="28"/>
          <w:szCs w:val="28"/>
        </w:rPr>
        <w:t xml:space="preserve">several </w:t>
      </w:r>
      <w:r w:rsidR="00CC6560">
        <w:rPr>
          <w:rFonts w:ascii="Times New Roman" w:hAnsi="Times New Roman" w:cs="Times New Roman"/>
          <w:sz w:val="28"/>
          <w:szCs w:val="28"/>
        </w:rPr>
        <w:lastRenderedPageBreak/>
        <w:t>other nations</w:t>
      </w:r>
      <w:r w:rsidR="00084C49">
        <w:rPr>
          <w:rFonts w:ascii="Times New Roman" w:hAnsi="Times New Roman" w:cs="Times New Roman"/>
          <w:sz w:val="28"/>
          <w:szCs w:val="28"/>
        </w:rPr>
        <w:t xml:space="preserve">, resulted in the </w:t>
      </w:r>
      <w:r w:rsidR="0099515D">
        <w:rPr>
          <w:rFonts w:ascii="Times New Roman" w:hAnsi="Times New Roman" w:cs="Times New Roman"/>
          <w:sz w:val="28"/>
          <w:szCs w:val="28"/>
        </w:rPr>
        <w:t xml:space="preserve">1999 Constitution </w:t>
      </w:r>
      <w:r w:rsidR="00084C49">
        <w:rPr>
          <w:rFonts w:ascii="Times New Roman" w:hAnsi="Times New Roman" w:cs="Times New Roman"/>
          <w:sz w:val="28"/>
          <w:szCs w:val="28"/>
        </w:rPr>
        <w:t>Third Alteration Act 2010</w:t>
      </w:r>
      <w:r w:rsidR="0099515D">
        <w:rPr>
          <w:rStyle w:val="FootnoteReference"/>
          <w:rFonts w:ascii="Times New Roman" w:hAnsi="Times New Roman" w:cs="Times New Roman"/>
          <w:sz w:val="28"/>
          <w:szCs w:val="28"/>
        </w:rPr>
        <w:footnoteReference w:id="8"/>
      </w:r>
      <w:r w:rsidR="00A35580">
        <w:rPr>
          <w:rFonts w:ascii="Times New Roman" w:hAnsi="Times New Roman" w:cs="Times New Roman"/>
          <w:sz w:val="28"/>
          <w:szCs w:val="28"/>
        </w:rPr>
        <w:t xml:space="preserve"> </w:t>
      </w:r>
      <w:r w:rsidR="005A55D1">
        <w:rPr>
          <w:rFonts w:ascii="Times New Roman" w:hAnsi="Times New Roman" w:cs="Times New Roman"/>
          <w:sz w:val="28"/>
          <w:szCs w:val="28"/>
        </w:rPr>
        <w:t xml:space="preserve">by the National Assembly. </w:t>
      </w:r>
    </w:p>
    <w:p w14:paraId="0213FB40" w14:textId="77777777" w:rsidR="00BD1C8F" w:rsidRDefault="00BD1C8F" w:rsidP="000939F5">
      <w:pPr>
        <w:spacing w:after="0" w:line="360" w:lineRule="auto"/>
        <w:jc w:val="both"/>
        <w:rPr>
          <w:rFonts w:ascii="Times New Roman" w:hAnsi="Times New Roman" w:cs="Times New Roman"/>
          <w:sz w:val="28"/>
          <w:szCs w:val="28"/>
        </w:rPr>
      </w:pPr>
    </w:p>
    <w:p w14:paraId="54219AD4" w14:textId="753461A9" w:rsidR="003619C5" w:rsidRDefault="00A6645E" w:rsidP="003619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BD1C8F">
        <w:rPr>
          <w:rFonts w:ascii="Times New Roman" w:hAnsi="Times New Roman" w:cs="Times New Roman"/>
          <w:sz w:val="28"/>
          <w:szCs w:val="28"/>
        </w:rPr>
        <w:t xml:space="preserve">] </w:t>
      </w:r>
      <w:r w:rsidR="002368A5">
        <w:rPr>
          <w:rFonts w:ascii="Times New Roman" w:hAnsi="Times New Roman" w:cs="Times New Roman"/>
          <w:sz w:val="28"/>
          <w:szCs w:val="28"/>
        </w:rPr>
        <w:t xml:space="preserve">The </w:t>
      </w:r>
      <w:r w:rsidR="003619C5">
        <w:rPr>
          <w:rFonts w:ascii="Times New Roman" w:hAnsi="Times New Roman" w:cs="Times New Roman"/>
          <w:sz w:val="28"/>
          <w:szCs w:val="28"/>
        </w:rPr>
        <w:t xml:space="preserve">Third Alteration </w:t>
      </w:r>
      <w:r w:rsidR="002368A5">
        <w:rPr>
          <w:rFonts w:ascii="Times New Roman" w:hAnsi="Times New Roman" w:cs="Times New Roman"/>
          <w:sz w:val="28"/>
          <w:szCs w:val="28"/>
        </w:rPr>
        <w:t>Act</w:t>
      </w:r>
      <w:r w:rsidR="003619C5">
        <w:rPr>
          <w:rFonts w:ascii="Times New Roman" w:hAnsi="Times New Roman" w:cs="Times New Roman"/>
          <w:sz w:val="28"/>
          <w:szCs w:val="28"/>
        </w:rPr>
        <w:t xml:space="preserve"> 2010</w:t>
      </w:r>
      <w:r w:rsidR="002368A5">
        <w:rPr>
          <w:rFonts w:ascii="Times New Roman" w:hAnsi="Times New Roman" w:cs="Times New Roman"/>
          <w:sz w:val="28"/>
          <w:szCs w:val="28"/>
        </w:rPr>
        <w:t xml:space="preserve"> amended the</w:t>
      </w:r>
      <w:r w:rsidR="0099515D">
        <w:rPr>
          <w:rFonts w:ascii="Times New Roman" w:hAnsi="Times New Roman" w:cs="Times New Roman"/>
          <w:sz w:val="28"/>
          <w:szCs w:val="28"/>
        </w:rPr>
        <w:t xml:space="preserve"> 1999 Constituti</w:t>
      </w:r>
      <w:r w:rsidR="00241E33">
        <w:rPr>
          <w:rFonts w:ascii="Times New Roman" w:hAnsi="Times New Roman" w:cs="Times New Roman"/>
          <w:sz w:val="28"/>
          <w:szCs w:val="28"/>
        </w:rPr>
        <w:t>on to include</w:t>
      </w:r>
      <w:r w:rsidR="0099515D">
        <w:rPr>
          <w:rFonts w:ascii="Times New Roman" w:hAnsi="Times New Roman" w:cs="Times New Roman"/>
          <w:sz w:val="28"/>
          <w:szCs w:val="28"/>
        </w:rPr>
        <w:t xml:space="preserve"> the National Industrial Court of Nigeria</w:t>
      </w:r>
      <w:r w:rsidR="00241E33">
        <w:rPr>
          <w:rStyle w:val="FootnoteReference"/>
          <w:rFonts w:ascii="Times New Roman" w:hAnsi="Times New Roman" w:cs="Times New Roman"/>
          <w:sz w:val="28"/>
          <w:szCs w:val="28"/>
        </w:rPr>
        <w:footnoteReference w:id="9"/>
      </w:r>
      <w:r w:rsidR="0099515D">
        <w:rPr>
          <w:rFonts w:ascii="Times New Roman" w:hAnsi="Times New Roman" w:cs="Times New Roman"/>
          <w:sz w:val="28"/>
          <w:szCs w:val="28"/>
        </w:rPr>
        <w:t xml:space="preserve"> </w:t>
      </w:r>
      <w:r w:rsidR="00241E33">
        <w:rPr>
          <w:rFonts w:ascii="Times New Roman" w:hAnsi="Times New Roman" w:cs="Times New Roman"/>
          <w:sz w:val="28"/>
          <w:szCs w:val="28"/>
        </w:rPr>
        <w:t xml:space="preserve">and conferred on the Court exclusive jurisdiction in civil causes and matters relating </w:t>
      </w:r>
      <w:r w:rsidR="00A42CB9">
        <w:rPr>
          <w:rFonts w:ascii="Times New Roman" w:hAnsi="Times New Roman" w:cs="Times New Roman"/>
          <w:sz w:val="28"/>
          <w:szCs w:val="28"/>
        </w:rPr>
        <w:t xml:space="preserve">to or connected with any </w:t>
      </w:r>
      <w:proofErr w:type="spellStart"/>
      <w:r w:rsidR="00A42CB9">
        <w:rPr>
          <w:rFonts w:ascii="Times New Roman" w:hAnsi="Times New Roman" w:cs="Times New Roman"/>
          <w:sz w:val="28"/>
          <w:szCs w:val="28"/>
        </w:rPr>
        <w:t>labour</w:t>
      </w:r>
      <w:proofErr w:type="spellEnd"/>
      <w:r w:rsidR="00A42CB9">
        <w:rPr>
          <w:rFonts w:ascii="Times New Roman" w:hAnsi="Times New Roman" w:cs="Times New Roman"/>
          <w:sz w:val="28"/>
          <w:szCs w:val="28"/>
        </w:rPr>
        <w:t>, employment, trade unions, industrial relations and matters arising from the workplace</w:t>
      </w:r>
      <w:r w:rsidR="00CC6560">
        <w:rPr>
          <w:rFonts w:ascii="Times New Roman" w:hAnsi="Times New Roman" w:cs="Times New Roman"/>
          <w:sz w:val="28"/>
          <w:szCs w:val="28"/>
        </w:rPr>
        <w:t>;</w:t>
      </w:r>
      <w:r w:rsidR="00A42CB9">
        <w:rPr>
          <w:rFonts w:ascii="Times New Roman" w:hAnsi="Times New Roman" w:cs="Times New Roman"/>
          <w:sz w:val="28"/>
          <w:szCs w:val="28"/>
        </w:rPr>
        <w:t xml:space="preserve"> including health, safety, welfare of </w:t>
      </w:r>
      <w:proofErr w:type="spellStart"/>
      <w:r w:rsidR="00A42CB9">
        <w:rPr>
          <w:rFonts w:ascii="Times New Roman" w:hAnsi="Times New Roman" w:cs="Times New Roman"/>
          <w:sz w:val="28"/>
          <w:szCs w:val="28"/>
        </w:rPr>
        <w:t>labour</w:t>
      </w:r>
      <w:proofErr w:type="spellEnd"/>
      <w:r w:rsidR="00A42CB9">
        <w:rPr>
          <w:rFonts w:ascii="Times New Roman" w:hAnsi="Times New Roman" w:cs="Times New Roman"/>
          <w:sz w:val="28"/>
          <w:szCs w:val="28"/>
        </w:rPr>
        <w:t xml:space="preserve">, international best practices in </w:t>
      </w:r>
      <w:proofErr w:type="spellStart"/>
      <w:r w:rsidR="00A42CB9">
        <w:rPr>
          <w:rFonts w:ascii="Times New Roman" w:hAnsi="Times New Roman" w:cs="Times New Roman"/>
          <w:sz w:val="28"/>
          <w:szCs w:val="28"/>
        </w:rPr>
        <w:t>labour</w:t>
      </w:r>
      <w:proofErr w:type="spellEnd"/>
      <w:r w:rsidR="00A42CB9">
        <w:rPr>
          <w:rFonts w:ascii="Times New Roman" w:hAnsi="Times New Roman" w:cs="Times New Roman"/>
          <w:sz w:val="28"/>
          <w:szCs w:val="28"/>
        </w:rPr>
        <w:t xml:space="preserve">, international </w:t>
      </w:r>
      <w:proofErr w:type="spellStart"/>
      <w:r w:rsidR="00A42CB9">
        <w:rPr>
          <w:rFonts w:ascii="Times New Roman" w:hAnsi="Times New Roman" w:cs="Times New Roman"/>
          <w:sz w:val="28"/>
          <w:szCs w:val="28"/>
        </w:rPr>
        <w:t>labour</w:t>
      </w:r>
      <w:proofErr w:type="spellEnd"/>
      <w:r w:rsidR="00A42CB9">
        <w:rPr>
          <w:rFonts w:ascii="Times New Roman" w:hAnsi="Times New Roman" w:cs="Times New Roman"/>
          <w:sz w:val="28"/>
          <w:szCs w:val="28"/>
        </w:rPr>
        <w:t xml:space="preserve"> standards, </w:t>
      </w:r>
      <w:r w:rsidR="00CC6560">
        <w:rPr>
          <w:rFonts w:ascii="Times New Roman" w:hAnsi="Times New Roman" w:cs="Times New Roman"/>
          <w:sz w:val="28"/>
          <w:szCs w:val="28"/>
        </w:rPr>
        <w:t xml:space="preserve">the application of </w:t>
      </w:r>
      <w:r w:rsidR="00A42CB9">
        <w:rPr>
          <w:rFonts w:ascii="Times New Roman" w:hAnsi="Times New Roman" w:cs="Times New Roman"/>
          <w:sz w:val="28"/>
          <w:szCs w:val="28"/>
        </w:rPr>
        <w:t>international convention</w:t>
      </w:r>
      <w:r w:rsidR="00CC6560">
        <w:rPr>
          <w:rFonts w:ascii="Times New Roman" w:hAnsi="Times New Roman" w:cs="Times New Roman"/>
          <w:sz w:val="28"/>
          <w:szCs w:val="28"/>
        </w:rPr>
        <w:t>s</w:t>
      </w:r>
      <w:r w:rsidR="00A42CB9">
        <w:rPr>
          <w:rFonts w:ascii="Times New Roman" w:hAnsi="Times New Roman" w:cs="Times New Roman"/>
          <w:sz w:val="28"/>
          <w:szCs w:val="28"/>
        </w:rPr>
        <w:t xml:space="preserve">, treaty or protocol of which Nigeria has ratified relating to </w:t>
      </w:r>
      <w:proofErr w:type="spellStart"/>
      <w:r w:rsidR="00A42CB9">
        <w:rPr>
          <w:rFonts w:ascii="Times New Roman" w:hAnsi="Times New Roman" w:cs="Times New Roman"/>
          <w:sz w:val="28"/>
          <w:szCs w:val="28"/>
        </w:rPr>
        <w:t>labour</w:t>
      </w:r>
      <w:proofErr w:type="spellEnd"/>
      <w:r w:rsidR="00A42CB9">
        <w:rPr>
          <w:rFonts w:ascii="Times New Roman" w:hAnsi="Times New Roman" w:cs="Times New Roman"/>
          <w:sz w:val="28"/>
          <w:szCs w:val="28"/>
        </w:rPr>
        <w:t xml:space="preserve">, employment, </w:t>
      </w:r>
      <w:r w:rsidR="00CC6560">
        <w:rPr>
          <w:rFonts w:ascii="Times New Roman" w:hAnsi="Times New Roman" w:cs="Times New Roman"/>
          <w:sz w:val="28"/>
          <w:szCs w:val="28"/>
        </w:rPr>
        <w:t xml:space="preserve">and </w:t>
      </w:r>
      <w:r w:rsidR="00A42CB9">
        <w:rPr>
          <w:rFonts w:ascii="Times New Roman" w:hAnsi="Times New Roman" w:cs="Times New Roman"/>
          <w:sz w:val="28"/>
          <w:szCs w:val="28"/>
        </w:rPr>
        <w:t>industrial relatio</w:t>
      </w:r>
      <w:r w:rsidR="00CC6560">
        <w:rPr>
          <w:rFonts w:ascii="Times New Roman" w:hAnsi="Times New Roman" w:cs="Times New Roman"/>
          <w:sz w:val="28"/>
          <w:szCs w:val="28"/>
        </w:rPr>
        <w:t>ns</w:t>
      </w:r>
      <w:r w:rsidR="00A42CB9">
        <w:rPr>
          <w:rStyle w:val="FootnoteReference"/>
          <w:rFonts w:ascii="Times New Roman" w:hAnsi="Times New Roman" w:cs="Times New Roman"/>
          <w:sz w:val="28"/>
          <w:szCs w:val="28"/>
        </w:rPr>
        <w:footnoteReference w:id="10"/>
      </w:r>
      <w:r w:rsidR="00A42CB9">
        <w:rPr>
          <w:rFonts w:ascii="Times New Roman" w:hAnsi="Times New Roman" w:cs="Times New Roman"/>
          <w:sz w:val="28"/>
          <w:szCs w:val="28"/>
        </w:rPr>
        <w:t xml:space="preserve">. </w:t>
      </w:r>
      <w:r w:rsidR="008E116B">
        <w:rPr>
          <w:rFonts w:ascii="Times New Roman" w:hAnsi="Times New Roman" w:cs="Times New Roman"/>
          <w:sz w:val="28"/>
          <w:szCs w:val="28"/>
        </w:rPr>
        <w:t xml:space="preserve">The Constitution also confers jurisdiction in criminal causes and matters arising from </w:t>
      </w:r>
      <w:proofErr w:type="spellStart"/>
      <w:r w:rsidR="008E116B">
        <w:rPr>
          <w:rFonts w:ascii="Times New Roman" w:hAnsi="Times New Roman" w:cs="Times New Roman"/>
          <w:sz w:val="28"/>
          <w:szCs w:val="28"/>
        </w:rPr>
        <w:t>labour</w:t>
      </w:r>
      <w:proofErr w:type="spellEnd"/>
      <w:r w:rsidR="008E116B">
        <w:rPr>
          <w:rFonts w:ascii="Times New Roman" w:hAnsi="Times New Roman" w:cs="Times New Roman"/>
          <w:sz w:val="28"/>
          <w:szCs w:val="28"/>
        </w:rPr>
        <w:t xml:space="preserve"> and industrial relations issues</w:t>
      </w:r>
      <w:r w:rsidR="008E116B">
        <w:rPr>
          <w:rStyle w:val="FootnoteReference"/>
          <w:rFonts w:ascii="Times New Roman" w:hAnsi="Times New Roman" w:cs="Times New Roman"/>
          <w:sz w:val="28"/>
          <w:szCs w:val="28"/>
        </w:rPr>
        <w:footnoteReference w:id="11"/>
      </w:r>
      <w:r w:rsidR="008E116B">
        <w:rPr>
          <w:rFonts w:ascii="Times New Roman" w:hAnsi="Times New Roman" w:cs="Times New Roman"/>
          <w:sz w:val="28"/>
          <w:szCs w:val="28"/>
        </w:rPr>
        <w:t xml:space="preserve">. </w:t>
      </w:r>
      <w:r w:rsidR="003A2858">
        <w:rPr>
          <w:rFonts w:ascii="Times New Roman" w:hAnsi="Times New Roman" w:cs="Times New Roman"/>
          <w:sz w:val="28"/>
          <w:szCs w:val="28"/>
        </w:rPr>
        <w:t>The NICN</w:t>
      </w:r>
      <w:r w:rsidR="003A2858" w:rsidRPr="003A2858">
        <w:rPr>
          <w:rFonts w:ascii="Times New Roman" w:hAnsi="Times New Roman" w:cs="Times New Roman"/>
          <w:sz w:val="28"/>
          <w:szCs w:val="28"/>
        </w:rPr>
        <w:t xml:space="preserve"> is e</w:t>
      </w:r>
      <w:r w:rsidR="003A2858">
        <w:rPr>
          <w:rFonts w:ascii="Times New Roman" w:hAnsi="Times New Roman" w:cs="Times New Roman"/>
          <w:sz w:val="28"/>
          <w:szCs w:val="28"/>
        </w:rPr>
        <w:t xml:space="preserve">stablished primarily for </w:t>
      </w:r>
      <w:proofErr w:type="spellStart"/>
      <w:r w:rsidR="003A2858">
        <w:rPr>
          <w:rFonts w:ascii="Times New Roman" w:hAnsi="Times New Roman" w:cs="Times New Roman"/>
          <w:sz w:val="28"/>
          <w:szCs w:val="28"/>
        </w:rPr>
        <w:t>labour</w:t>
      </w:r>
      <w:proofErr w:type="spellEnd"/>
      <w:r w:rsidR="003A2858">
        <w:rPr>
          <w:rFonts w:ascii="Times New Roman" w:hAnsi="Times New Roman" w:cs="Times New Roman"/>
          <w:sz w:val="28"/>
          <w:szCs w:val="28"/>
        </w:rPr>
        <w:t xml:space="preserve">, </w:t>
      </w:r>
      <w:r w:rsidR="003A2858" w:rsidRPr="003A2858">
        <w:rPr>
          <w:rFonts w:ascii="Times New Roman" w:hAnsi="Times New Roman" w:cs="Times New Roman"/>
          <w:sz w:val="28"/>
          <w:szCs w:val="28"/>
        </w:rPr>
        <w:t>employment</w:t>
      </w:r>
      <w:r w:rsidR="003A2858">
        <w:rPr>
          <w:rFonts w:ascii="Times New Roman" w:hAnsi="Times New Roman" w:cs="Times New Roman"/>
          <w:sz w:val="28"/>
          <w:szCs w:val="28"/>
        </w:rPr>
        <w:t>, workplace and industrial relations</w:t>
      </w:r>
      <w:r w:rsidR="003A2858" w:rsidRPr="003A2858">
        <w:rPr>
          <w:rFonts w:ascii="Times New Roman" w:hAnsi="Times New Roman" w:cs="Times New Roman"/>
          <w:sz w:val="28"/>
          <w:szCs w:val="28"/>
        </w:rPr>
        <w:t xml:space="preserve"> matters. This is its area of core competence and specialization. </w:t>
      </w:r>
      <w:r w:rsidR="003A2858">
        <w:rPr>
          <w:rFonts w:ascii="Times New Roman" w:hAnsi="Times New Roman" w:cs="Times New Roman"/>
          <w:sz w:val="28"/>
          <w:szCs w:val="28"/>
        </w:rPr>
        <w:t xml:space="preserve">It can therefore be said that the NICN has jurisdiction over any conceivable </w:t>
      </w:r>
      <w:proofErr w:type="spellStart"/>
      <w:r w:rsidR="003A2858">
        <w:rPr>
          <w:rFonts w:ascii="Times New Roman" w:hAnsi="Times New Roman" w:cs="Times New Roman"/>
          <w:sz w:val="28"/>
          <w:szCs w:val="28"/>
        </w:rPr>
        <w:t>labour</w:t>
      </w:r>
      <w:proofErr w:type="spellEnd"/>
      <w:r w:rsidR="003A2858">
        <w:rPr>
          <w:rFonts w:ascii="Times New Roman" w:hAnsi="Times New Roman" w:cs="Times New Roman"/>
          <w:sz w:val="28"/>
          <w:szCs w:val="28"/>
        </w:rPr>
        <w:t xml:space="preserve">, employment, and industrial relations dispute. </w:t>
      </w:r>
    </w:p>
    <w:p w14:paraId="281DA86C" w14:textId="77777777" w:rsidR="00F127CA" w:rsidRDefault="00F127CA" w:rsidP="003619C5">
      <w:pPr>
        <w:spacing w:after="0" w:line="360" w:lineRule="auto"/>
        <w:jc w:val="both"/>
        <w:rPr>
          <w:rFonts w:ascii="Times New Roman" w:hAnsi="Times New Roman" w:cs="Times New Roman"/>
          <w:sz w:val="28"/>
          <w:szCs w:val="28"/>
        </w:rPr>
      </w:pPr>
    </w:p>
    <w:p w14:paraId="25CB5292" w14:textId="11559C13" w:rsidR="003A2858" w:rsidRPr="003A2858" w:rsidRDefault="00A6645E" w:rsidP="003619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3619C5">
        <w:rPr>
          <w:rFonts w:ascii="Times New Roman" w:hAnsi="Times New Roman" w:cs="Times New Roman"/>
          <w:sz w:val="28"/>
          <w:szCs w:val="28"/>
        </w:rPr>
        <w:t xml:space="preserve">] </w:t>
      </w:r>
      <w:r w:rsidR="00D4421F">
        <w:rPr>
          <w:rFonts w:ascii="Times New Roman" w:hAnsi="Times New Roman" w:cs="Times New Roman"/>
          <w:sz w:val="28"/>
          <w:szCs w:val="28"/>
        </w:rPr>
        <w:t>The Court of Appeal in</w:t>
      </w:r>
      <w:r w:rsidR="003A2858" w:rsidRPr="003A2858">
        <w:rPr>
          <w:rFonts w:ascii="Times New Roman" w:hAnsi="Times New Roman" w:cs="Times New Roman"/>
          <w:sz w:val="28"/>
          <w:szCs w:val="28"/>
        </w:rPr>
        <w:t xml:space="preserve"> </w:t>
      </w:r>
      <w:r w:rsidR="003A2858" w:rsidRPr="003A2858">
        <w:rPr>
          <w:rFonts w:ascii="Times New Roman" w:hAnsi="Times New Roman" w:cs="Times New Roman"/>
          <w:i/>
          <w:sz w:val="28"/>
          <w:szCs w:val="28"/>
        </w:rPr>
        <w:t xml:space="preserve">Sahara Energy Resources Ltd v </w:t>
      </w:r>
      <w:proofErr w:type="spellStart"/>
      <w:r w:rsidR="003A2858" w:rsidRPr="003A2858">
        <w:rPr>
          <w:rFonts w:ascii="Times New Roman" w:hAnsi="Times New Roman" w:cs="Times New Roman"/>
          <w:i/>
          <w:sz w:val="28"/>
          <w:szCs w:val="28"/>
        </w:rPr>
        <w:t>Oyebola</w:t>
      </w:r>
      <w:proofErr w:type="spellEnd"/>
      <w:r w:rsidR="00DF39BA">
        <w:rPr>
          <w:rStyle w:val="FootnoteReference"/>
          <w:rFonts w:ascii="Times New Roman" w:hAnsi="Times New Roman" w:cs="Times New Roman"/>
          <w:i/>
          <w:sz w:val="28"/>
          <w:szCs w:val="28"/>
        </w:rPr>
        <w:footnoteReference w:id="12"/>
      </w:r>
      <w:r w:rsidR="003A2858">
        <w:rPr>
          <w:rFonts w:ascii="Times New Roman" w:hAnsi="Times New Roman" w:cs="Times New Roman"/>
          <w:i/>
          <w:sz w:val="28"/>
          <w:szCs w:val="28"/>
        </w:rPr>
        <w:t xml:space="preserve"> </w:t>
      </w:r>
      <w:r w:rsidR="003A2858" w:rsidRPr="003A2858">
        <w:rPr>
          <w:rFonts w:ascii="Times New Roman" w:hAnsi="Times New Roman" w:cs="Times New Roman"/>
          <w:sz w:val="28"/>
          <w:szCs w:val="28"/>
        </w:rPr>
        <w:t>elucidated the importance of the decisions of the NIC</w:t>
      </w:r>
      <w:r w:rsidR="003A2858">
        <w:rPr>
          <w:rFonts w:ascii="Times New Roman" w:hAnsi="Times New Roman" w:cs="Times New Roman"/>
          <w:sz w:val="28"/>
          <w:szCs w:val="28"/>
        </w:rPr>
        <w:t>N</w:t>
      </w:r>
      <w:r w:rsidR="003A2858" w:rsidRPr="003A2858">
        <w:rPr>
          <w:rFonts w:ascii="Times New Roman" w:hAnsi="Times New Roman" w:cs="Times New Roman"/>
          <w:sz w:val="28"/>
          <w:szCs w:val="28"/>
        </w:rPr>
        <w:t xml:space="preserve"> as a specialized</w:t>
      </w:r>
      <w:r w:rsidR="004D430E">
        <w:rPr>
          <w:rFonts w:ascii="Times New Roman" w:hAnsi="Times New Roman" w:cs="Times New Roman"/>
          <w:sz w:val="28"/>
          <w:szCs w:val="28"/>
        </w:rPr>
        <w:t xml:space="preserve"> Industrial</w:t>
      </w:r>
      <w:r w:rsidR="003A2858" w:rsidRPr="003A2858">
        <w:rPr>
          <w:rFonts w:ascii="Times New Roman" w:hAnsi="Times New Roman" w:cs="Times New Roman"/>
          <w:sz w:val="28"/>
          <w:szCs w:val="28"/>
        </w:rPr>
        <w:t xml:space="preserve"> Court</w:t>
      </w:r>
      <w:r w:rsidR="003A2858" w:rsidRPr="003A2858">
        <w:rPr>
          <w:rFonts w:ascii="Times New Roman" w:hAnsi="Times New Roman" w:cs="Times New Roman"/>
          <w:i/>
          <w:sz w:val="28"/>
          <w:szCs w:val="28"/>
        </w:rPr>
        <w:t xml:space="preserve"> per</w:t>
      </w:r>
      <w:r w:rsidR="003A2858" w:rsidRPr="003A2858">
        <w:rPr>
          <w:rFonts w:ascii="Times New Roman" w:hAnsi="Times New Roman" w:cs="Times New Roman"/>
          <w:sz w:val="28"/>
          <w:szCs w:val="28"/>
        </w:rPr>
        <w:t xml:space="preserve"> </w:t>
      </w:r>
      <w:proofErr w:type="spellStart"/>
      <w:r w:rsidR="003A2858" w:rsidRPr="003A2858">
        <w:rPr>
          <w:rFonts w:ascii="Times New Roman" w:hAnsi="Times New Roman" w:cs="Times New Roman"/>
          <w:sz w:val="28"/>
          <w:szCs w:val="28"/>
        </w:rPr>
        <w:t>Ogakwu</w:t>
      </w:r>
      <w:proofErr w:type="spellEnd"/>
      <w:r w:rsidR="003A2858" w:rsidRPr="003A2858">
        <w:rPr>
          <w:rFonts w:ascii="Times New Roman" w:hAnsi="Times New Roman" w:cs="Times New Roman"/>
          <w:i/>
          <w:sz w:val="28"/>
          <w:szCs w:val="28"/>
        </w:rPr>
        <w:t xml:space="preserve"> </w:t>
      </w:r>
      <w:r w:rsidR="003A2858" w:rsidRPr="003A2858">
        <w:rPr>
          <w:rFonts w:ascii="Times New Roman" w:hAnsi="Times New Roman" w:cs="Times New Roman"/>
          <w:sz w:val="28"/>
          <w:szCs w:val="28"/>
        </w:rPr>
        <w:t xml:space="preserve">JCA: </w:t>
      </w:r>
    </w:p>
    <w:p w14:paraId="042B7586" w14:textId="77777777" w:rsidR="003A2858" w:rsidRPr="003A2858" w:rsidRDefault="003A2858" w:rsidP="003A2858">
      <w:pPr>
        <w:spacing w:line="360" w:lineRule="auto"/>
        <w:ind w:left="720"/>
        <w:jc w:val="both"/>
        <w:rPr>
          <w:rFonts w:ascii="Times New Roman" w:hAnsi="Times New Roman" w:cs="Times New Roman"/>
          <w:sz w:val="28"/>
          <w:szCs w:val="28"/>
        </w:rPr>
      </w:pPr>
      <w:r w:rsidRPr="003A2858">
        <w:rPr>
          <w:rFonts w:ascii="Times New Roman" w:hAnsi="Times New Roman" w:cs="Times New Roman"/>
          <w:sz w:val="28"/>
          <w:szCs w:val="28"/>
        </w:rPr>
        <w:t xml:space="preserve">In that regard, except where patently and manifestly wrong, there has to be some deference to the decisions of that court in that area of the core competence and </w:t>
      </w:r>
      <w:proofErr w:type="spellStart"/>
      <w:r w:rsidRPr="003A2858">
        <w:rPr>
          <w:rFonts w:ascii="Times New Roman" w:hAnsi="Times New Roman" w:cs="Times New Roman"/>
          <w:sz w:val="28"/>
          <w:szCs w:val="28"/>
        </w:rPr>
        <w:t>specialisation</w:t>
      </w:r>
      <w:proofErr w:type="spellEnd"/>
      <w:r w:rsidRPr="003A2858">
        <w:rPr>
          <w:rFonts w:ascii="Times New Roman" w:hAnsi="Times New Roman" w:cs="Times New Roman"/>
          <w:sz w:val="28"/>
          <w:szCs w:val="28"/>
        </w:rPr>
        <w:t xml:space="preserve"> of the court. This has been recognized internationally. For instance, the appellate courts in England have stated that employment judges have a good </w:t>
      </w:r>
      <w:r w:rsidRPr="003A2858">
        <w:rPr>
          <w:rFonts w:ascii="Times New Roman" w:hAnsi="Times New Roman" w:cs="Times New Roman"/>
          <w:sz w:val="28"/>
          <w:szCs w:val="28"/>
        </w:rPr>
        <w:lastRenderedPageBreak/>
        <w:t xml:space="preserve">knowledge of the </w:t>
      </w:r>
      <w:r w:rsidRPr="003A2858">
        <w:rPr>
          <w:rFonts w:ascii="Times New Roman" w:hAnsi="Times New Roman" w:cs="Times New Roman"/>
          <w:i/>
          <w:iCs/>
          <w:sz w:val="28"/>
          <w:szCs w:val="28"/>
        </w:rPr>
        <w:t>world of work and a sense, derived from experience, of what is real there and what is window-dressing</w:t>
      </w:r>
      <w:r w:rsidRPr="003A2858">
        <w:rPr>
          <w:rFonts w:ascii="Times New Roman" w:hAnsi="Times New Roman" w:cs="Times New Roman"/>
          <w:sz w:val="28"/>
          <w:szCs w:val="28"/>
        </w:rPr>
        <w:t>. Such employment tribunals are to be ‘</w:t>
      </w:r>
      <w:r w:rsidRPr="003A2858">
        <w:rPr>
          <w:rFonts w:ascii="Times New Roman" w:hAnsi="Times New Roman" w:cs="Times New Roman"/>
          <w:i/>
          <w:iCs/>
          <w:sz w:val="28"/>
          <w:szCs w:val="28"/>
        </w:rPr>
        <w:t>realistic and worldly wise’</w:t>
      </w:r>
      <w:r w:rsidRPr="003A2858">
        <w:rPr>
          <w:rFonts w:ascii="Times New Roman" w:hAnsi="Times New Roman" w:cs="Times New Roman"/>
          <w:sz w:val="28"/>
          <w:szCs w:val="28"/>
        </w:rPr>
        <w:t>, and ‘</w:t>
      </w:r>
      <w:r w:rsidRPr="003A2858">
        <w:rPr>
          <w:rFonts w:ascii="Times New Roman" w:hAnsi="Times New Roman" w:cs="Times New Roman"/>
          <w:i/>
          <w:iCs/>
          <w:sz w:val="28"/>
          <w:szCs w:val="28"/>
        </w:rPr>
        <w:t>sensible and robust…in order to prevent form from undermining substance</w:t>
      </w:r>
      <w:r w:rsidRPr="003A2858">
        <w:rPr>
          <w:rFonts w:ascii="Times New Roman" w:hAnsi="Times New Roman" w:cs="Times New Roman"/>
          <w:sz w:val="28"/>
          <w:szCs w:val="28"/>
        </w:rPr>
        <w:t>’. See </w:t>
      </w:r>
      <w:r w:rsidRPr="003A2858">
        <w:rPr>
          <w:rFonts w:ascii="Times New Roman" w:hAnsi="Times New Roman" w:cs="Times New Roman"/>
          <w:bCs/>
          <w:sz w:val="28"/>
          <w:szCs w:val="28"/>
        </w:rPr>
        <w:t>UBER B.V. (UBV) vs. YASEEN ASLAM (2018) EWCA CIV 2748</w:t>
      </w:r>
      <w:r w:rsidRPr="003A2858">
        <w:rPr>
          <w:rFonts w:ascii="Times New Roman" w:hAnsi="Times New Roman" w:cs="Times New Roman"/>
          <w:sz w:val="28"/>
          <w:szCs w:val="28"/>
        </w:rPr>
        <w:t xml:space="preserve"> (</w:t>
      </w:r>
      <w:r w:rsidRPr="003A2858">
        <w:rPr>
          <w:rFonts w:ascii="Times New Roman" w:hAnsi="Times New Roman" w:cs="Times New Roman"/>
          <w:i/>
          <w:iCs/>
          <w:sz w:val="28"/>
          <w:szCs w:val="28"/>
        </w:rPr>
        <w:t>19th December 2018</w:t>
      </w:r>
      <w:r w:rsidRPr="003A2858">
        <w:rPr>
          <w:rFonts w:ascii="Times New Roman" w:hAnsi="Times New Roman" w:cs="Times New Roman"/>
          <w:sz w:val="28"/>
          <w:szCs w:val="28"/>
        </w:rPr>
        <w:t xml:space="preserve">) </w:t>
      </w:r>
      <w:r w:rsidRPr="003A2858">
        <w:rPr>
          <w:rFonts w:ascii="Times New Roman" w:hAnsi="Times New Roman" w:cs="Times New Roman"/>
          <w:bCs/>
          <w:sz w:val="28"/>
          <w:szCs w:val="28"/>
        </w:rPr>
        <w:t>at Paragraphs 48 and 49</w:t>
      </w:r>
      <w:r w:rsidRPr="003A2858">
        <w:rPr>
          <w:rFonts w:ascii="Times New Roman" w:hAnsi="Times New Roman" w:cs="Times New Roman"/>
          <w:sz w:val="28"/>
          <w:szCs w:val="28"/>
        </w:rPr>
        <w:t xml:space="preserve"> and </w:t>
      </w:r>
      <w:r w:rsidRPr="003A2858">
        <w:rPr>
          <w:rFonts w:ascii="Times New Roman" w:hAnsi="Times New Roman" w:cs="Times New Roman"/>
          <w:bCs/>
          <w:sz w:val="28"/>
          <w:szCs w:val="28"/>
        </w:rPr>
        <w:t>AUTOCLENZ LTD vs. BELCHER (2011) UKSC 41</w:t>
      </w:r>
      <w:r w:rsidRPr="003A2858">
        <w:rPr>
          <w:rFonts w:ascii="Times New Roman" w:hAnsi="Times New Roman" w:cs="Times New Roman"/>
          <w:sz w:val="28"/>
          <w:szCs w:val="28"/>
        </w:rPr>
        <w:t xml:space="preserve"> or </w:t>
      </w:r>
      <w:r w:rsidRPr="003A2858">
        <w:rPr>
          <w:rFonts w:ascii="Times New Roman" w:hAnsi="Times New Roman" w:cs="Times New Roman"/>
          <w:bCs/>
          <w:sz w:val="28"/>
          <w:szCs w:val="28"/>
        </w:rPr>
        <w:t>(2011) ICR 1157</w:t>
      </w:r>
      <w:r w:rsidRPr="003A2858">
        <w:rPr>
          <w:rFonts w:ascii="Times New Roman" w:hAnsi="Times New Roman" w:cs="Times New Roman"/>
          <w:sz w:val="28"/>
          <w:szCs w:val="28"/>
        </w:rPr>
        <w:t>.</w:t>
      </w:r>
    </w:p>
    <w:p w14:paraId="2B608472" w14:textId="164CB0EF" w:rsidR="00FF1ADD" w:rsidRPr="0077480A" w:rsidRDefault="00A6645E"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DF39BA">
        <w:rPr>
          <w:rFonts w:ascii="Times New Roman" w:hAnsi="Times New Roman" w:cs="Times New Roman"/>
          <w:sz w:val="28"/>
          <w:szCs w:val="28"/>
        </w:rPr>
        <w:t xml:space="preserve">] </w:t>
      </w:r>
      <w:r w:rsidR="00A210A6">
        <w:rPr>
          <w:rFonts w:ascii="Times New Roman" w:hAnsi="Times New Roman" w:cs="Times New Roman"/>
          <w:sz w:val="28"/>
          <w:szCs w:val="28"/>
        </w:rPr>
        <w:t>H</w:t>
      </w:r>
      <w:r w:rsidR="005A55D1">
        <w:rPr>
          <w:rFonts w:ascii="Times New Roman" w:hAnsi="Times New Roman" w:cs="Times New Roman"/>
          <w:sz w:val="28"/>
          <w:szCs w:val="28"/>
        </w:rPr>
        <w:t>aving specialized</w:t>
      </w:r>
      <w:r w:rsidR="00B434DF">
        <w:rPr>
          <w:rFonts w:ascii="Times New Roman" w:hAnsi="Times New Roman" w:cs="Times New Roman"/>
          <w:sz w:val="28"/>
          <w:szCs w:val="28"/>
        </w:rPr>
        <w:t xml:space="preserve"> the C</w:t>
      </w:r>
      <w:r w:rsidR="005A55D1">
        <w:rPr>
          <w:rFonts w:ascii="Times New Roman" w:hAnsi="Times New Roman" w:cs="Times New Roman"/>
          <w:sz w:val="28"/>
          <w:szCs w:val="28"/>
        </w:rPr>
        <w:t>ourt</w:t>
      </w:r>
      <w:r w:rsidR="00B434DF">
        <w:rPr>
          <w:rFonts w:ascii="Times New Roman" w:hAnsi="Times New Roman" w:cs="Times New Roman"/>
          <w:sz w:val="28"/>
          <w:szCs w:val="28"/>
        </w:rPr>
        <w:t xml:space="preserve"> in the NICA 2006</w:t>
      </w:r>
      <w:r w:rsidR="00A210A6">
        <w:rPr>
          <w:rFonts w:ascii="Times New Roman" w:hAnsi="Times New Roman" w:cs="Times New Roman"/>
          <w:sz w:val="28"/>
          <w:szCs w:val="28"/>
        </w:rPr>
        <w:t xml:space="preserve">, the National Assembly further </w:t>
      </w:r>
      <w:r w:rsidR="003619C5">
        <w:rPr>
          <w:rFonts w:ascii="Times New Roman" w:hAnsi="Times New Roman" w:cs="Times New Roman"/>
          <w:sz w:val="28"/>
          <w:szCs w:val="28"/>
        </w:rPr>
        <w:t xml:space="preserve">specialized the Judges of the Court in the provision </w:t>
      </w:r>
      <w:r w:rsidR="00A210A6">
        <w:rPr>
          <w:rFonts w:ascii="Times New Roman" w:hAnsi="Times New Roman" w:cs="Times New Roman"/>
          <w:sz w:val="28"/>
          <w:szCs w:val="28"/>
        </w:rPr>
        <w:t xml:space="preserve"> that a person eligible to be appointed as a Judge of the NICN in addition to being a legal practitioner of not less than ten years, must have considerable knowledge and experience in the law and practice of industrial relations and employment conditions in Nigeria.</w:t>
      </w:r>
      <w:r w:rsidR="00A210A6">
        <w:rPr>
          <w:rStyle w:val="FootnoteReference"/>
          <w:rFonts w:ascii="Times New Roman" w:hAnsi="Times New Roman" w:cs="Times New Roman"/>
          <w:sz w:val="28"/>
          <w:szCs w:val="28"/>
        </w:rPr>
        <w:footnoteReference w:id="13"/>
      </w:r>
      <w:r w:rsidR="00A210A6">
        <w:rPr>
          <w:rFonts w:ascii="Times New Roman" w:hAnsi="Times New Roman" w:cs="Times New Roman"/>
          <w:sz w:val="28"/>
          <w:szCs w:val="28"/>
        </w:rPr>
        <w:t xml:space="preserve"> </w:t>
      </w:r>
      <w:r w:rsidR="00B434DF">
        <w:rPr>
          <w:rFonts w:ascii="Times New Roman" w:hAnsi="Times New Roman" w:cs="Times New Roman"/>
          <w:sz w:val="28"/>
          <w:szCs w:val="28"/>
        </w:rPr>
        <w:t>The Jud</w:t>
      </w:r>
      <w:r w:rsidR="00DF39BA">
        <w:rPr>
          <w:rFonts w:ascii="Times New Roman" w:hAnsi="Times New Roman" w:cs="Times New Roman"/>
          <w:sz w:val="28"/>
          <w:szCs w:val="28"/>
        </w:rPr>
        <w:t>ges of the Court have specialized</w:t>
      </w:r>
      <w:r w:rsidR="00B434DF">
        <w:rPr>
          <w:rFonts w:ascii="Times New Roman" w:hAnsi="Times New Roman" w:cs="Times New Roman"/>
          <w:sz w:val="28"/>
          <w:szCs w:val="28"/>
        </w:rPr>
        <w:t xml:space="preserve"> in </w:t>
      </w:r>
      <w:proofErr w:type="spellStart"/>
      <w:r w:rsidR="00B434DF">
        <w:rPr>
          <w:rFonts w:ascii="Times New Roman" w:hAnsi="Times New Roman" w:cs="Times New Roman"/>
          <w:sz w:val="28"/>
          <w:szCs w:val="28"/>
        </w:rPr>
        <w:t>labour</w:t>
      </w:r>
      <w:proofErr w:type="spellEnd"/>
      <w:r w:rsidR="00B434DF">
        <w:rPr>
          <w:rFonts w:ascii="Times New Roman" w:hAnsi="Times New Roman" w:cs="Times New Roman"/>
          <w:sz w:val="28"/>
          <w:szCs w:val="28"/>
        </w:rPr>
        <w:t xml:space="preserve"> and I</w:t>
      </w:r>
      <w:r w:rsidR="004D430E">
        <w:rPr>
          <w:rFonts w:ascii="Times New Roman" w:hAnsi="Times New Roman" w:cs="Times New Roman"/>
          <w:sz w:val="28"/>
          <w:szCs w:val="28"/>
        </w:rPr>
        <w:t>ndustrial relations matters</w:t>
      </w:r>
      <w:r w:rsidR="00DF39BA">
        <w:rPr>
          <w:rFonts w:ascii="Times New Roman" w:hAnsi="Times New Roman" w:cs="Times New Roman"/>
          <w:sz w:val="28"/>
          <w:szCs w:val="28"/>
        </w:rPr>
        <w:t xml:space="preserve"> and</w:t>
      </w:r>
      <w:r w:rsidR="00B434DF">
        <w:rPr>
          <w:rFonts w:ascii="Times New Roman" w:hAnsi="Times New Roman" w:cs="Times New Roman"/>
          <w:sz w:val="28"/>
          <w:szCs w:val="28"/>
        </w:rPr>
        <w:t xml:space="preserve"> receive training locally and internationally at the International </w:t>
      </w:r>
      <w:proofErr w:type="spellStart"/>
      <w:r w:rsidR="00B434DF">
        <w:rPr>
          <w:rFonts w:ascii="Times New Roman" w:hAnsi="Times New Roman" w:cs="Times New Roman"/>
          <w:sz w:val="28"/>
          <w:szCs w:val="28"/>
        </w:rPr>
        <w:t>Labour</w:t>
      </w:r>
      <w:proofErr w:type="spellEnd"/>
      <w:r w:rsidR="00B434DF">
        <w:rPr>
          <w:rFonts w:ascii="Times New Roman" w:hAnsi="Times New Roman" w:cs="Times New Roman"/>
          <w:sz w:val="28"/>
          <w:szCs w:val="28"/>
        </w:rPr>
        <w:t xml:space="preserve"> Organization (ILO) Training Cen</w:t>
      </w:r>
      <w:r w:rsidR="00DF39BA">
        <w:rPr>
          <w:rFonts w:ascii="Times New Roman" w:hAnsi="Times New Roman" w:cs="Times New Roman"/>
          <w:sz w:val="28"/>
          <w:szCs w:val="28"/>
        </w:rPr>
        <w:t>t</w:t>
      </w:r>
      <w:r w:rsidR="00B434DF">
        <w:rPr>
          <w:rFonts w:ascii="Times New Roman" w:hAnsi="Times New Roman" w:cs="Times New Roman"/>
          <w:sz w:val="28"/>
          <w:szCs w:val="28"/>
        </w:rPr>
        <w:t xml:space="preserve">re (ITC) Turin. </w:t>
      </w:r>
      <w:r w:rsidR="0077480A">
        <w:rPr>
          <w:rFonts w:ascii="Times New Roman" w:hAnsi="Times New Roman" w:cs="Times New Roman"/>
          <w:sz w:val="28"/>
          <w:szCs w:val="28"/>
        </w:rPr>
        <w:t xml:space="preserve">In order to guarantee industrial harmony, the ILO lays emphasis on the need to establish and guarantee the existence of specialized courts by legislation and inclusion in the Constitution. </w:t>
      </w:r>
      <w:r w:rsidR="00015B45">
        <w:rPr>
          <w:rFonts w:ascii="Times New Roman" w:hAnsi="Times New Roman" w:cs="Times New Roman"/>
          <w:sz w:val="28"/>
          <w:szCs w:val="28"/>
        </w:rPr>
        <w:t>The</w:t>
      </w:r>
      <w:r w:rsidR="00AD61E7" w:rsidRPr="003A2858">
        <w:rPr>
          <w:rFonts w:ascii="Times New Roman" w:hAnsi="Times New Roman" w:cs="Times New Roman"/>
          <w:sz w:val="28"/>
          <w:szCs w:val="28"/>
        </w:rPr>
        <w:t xml:space="preserve"> spirit, letter, and </w:t>
      </w:r>
      <w:r w:rsidR="004D430E">
        <w:rPr>
          <w:rFonts w:ascii="Times New Roman" w:hAnsi="Times New Roman" w:cs="Times New Roman"/>
          <w:sz w:val="28"/>
          <w:szCs w:val="28"/>
        </w:rPr>
        <w:t>intendment of the legislature in the Third Alteration Act 2010 is therefore</w:t>
      </w:r>
      <w:r w:rsidR="00AD61E7" w:rsidRPr="003A2858">
        <w:rPr>
          <w:rFonts w:ascii="Times New Roman" w:hAnsi="Times New Roman" w:cs="Times New Roman"/>
          <w:sz w:val="28"/>
          <w:szCs w:val="28"/>
        </w:rPr>
        <w:t xml:space="preserve"> to align domestic </w:t>
      </w:r>
      <w:proofErr w:type="spellStart"/>
      <w:r w:rsidR="00AD61E7" w:rsidRPr="003A2858">
        <w:rPr>
          <w:rFonts w:ascii="Times New Roman" w:hAnsi="Times New Roman" w:cs="Times New Roman"/>
          <w:sz w:val="28"/>
          <w:szCs w:val="28"/>
        </w:rPr>
        <w:t>labour</w:t>
      </w:r>
      <w:proofErr w:type="spellEnd"/>
      <w:r w:rsidR="00AD61E7" w:rsidRPr="003A2858">
        <w:rPr>
          <w:rFonts w:ascii="Times New Roman" w:hAnsi="Times New Roman" w:cs="Times New Roman"/>
          <w:sz w:val="28"/>
          <w:szCs w:val="28"/>
        </w:rPr>
        <w:t xml:space="preserve"> law with international conventions and international best practice; and thereby set an international standard as a benchmark for measuring </w:t>
      </w:r>
      <w:proofErr w:type="spellStart"/>
      <w:r w:rsidR="00AD61E7" w:rsidRPr="003A2858">
        <w:rPr>
          <w:rFonts w:ascii="Times New Roman" w:hAnsi="Times New Roman" w:cs="Times New Roman"/>
          <w:sz w:val="28"/>
          <w:szCs w:val="28"/>
        </w:rPr>
        <w:t>labour</w:t>
      </w:r>
      <w:proofErr w:type="spellEnd"/>
      <w:r w:rsidR="00AD61E7" w:rsidRPr="003A2858">
        <w:rPr>
          <w:rFonts w:ascii="Times New Roman" w:hAnsi="Times New Roman" w:cs="Times New Roman"/>
          <w:sz w:val="28"/>
          <w:szCs w:val="28"/>
        </w:rPr>
        <w:t xml:space="preserve"> and industrial relations practice in Nigeria.</w:t>
      </w:r>
    </w:p>
    <w:p w14:paraId="38805CD5" w14:textId="30475EC8" w:rsidR="006B6420" w:rsidRPr="0044283C" w:rsidRDefault="006B6420" w:rsidP="000939F5">
      <w:pPr>
        <w:spacing w:after="0" w:line="360" w:lineRule="auto"/>
        <w:jc w:val="both"/>
        <w:rPr>
          <w:rFonts w:ascii="Times New Roman" w:hAnsi="Times New Roman" w:cs="Times New Roman"/>
          <w:b/>
          <w:sz w:val="26"/>
          <w:szCs w:val="26"/>
          <w:u w:val="single"/>
        </w:rPr>
      </w:pPr>
      <w:r w:rsidRPr="0044283C">
        <w:rPr>
          <w:rFonts w:ascii="Times New Roman" w:hAnsi="Times New Roman" w:cs="Times New Roman"/>
          <w:b/>
          <w:sz w:val="26"/>
          <w:szCs w:val="26"/>
          <w:u w:val="single"/>
        </w:rPr>
        <w:t>CAUSES OF T</w:t>
      </w:r>
      <w:r w:rsidR="00282AF7">
        <w:rPr>
          <w:rFonts w:ascii="Times New Roman" w:hAnsi="Times New Roman" w:cs="Times New Roman"/>
          <w:b/>
          <w:sz w:val="26"/>
          <w:szCs w:val="26"/>
          <w:u w:val="single"/>
        </w:rPr>
        <w:t>RADE / LABOUR DISPUTES</w:t>
      </w:r>
    </w:p>
    <w:p w14:paraId="7D59C754" w14:textId="4FB0A5EE" w:rsidR="005A55D1" w:rsidRDefault="005A55D1" w:rsidP="000939F5">
      <w:pPr>
        <w:spacing w:after="0" w:line="360" w:lineRule="auto"/>
        <w:jc w:val="both"/>
        <w:rPr>
          <w:rFonts w:ascii="Times New Roman" w:hAnsi="Times New Roman" w:cs="Times New Roman"/>
          <w:sz w:val="28"/>
          <w:szCs w:val="28"/>
        </w:rPr>
      </w:pPr>
    </w:p>
    <w:p w14:paraId="65A9B33C" w14:textId="406F3FDA" w:rsidR="006B6420" w:rsidRDefault="00A6645E"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6B6420">
        <w:rPr>
          <w:rFonts w:ascii="Times New Roman" w:hAnsi="Times New Roman" w:cs="Times New Roman"/>
          <w:sz w:val="28"/>
          <w:szCs w:val="28"/>
        </w:rPr>
        <w:t xml:space="preserve">] Trade dispute refers to </w:t>
      </w:r>
      <w:r w:rsidR="00B73056">
        <w:rPr>
          <w:rFonts w:ascii="Times New Roman" w:hAnsi="Times New Roman" w:cs="Times New Roman"/>
          <w:sz w:val="28"/>
          <w:szCs w:val="28"/>
        </w:rPr>
        <w:t>any dispute between employers and employees or between employees or their representatives (tr</w:t>
      </w:r>
      <w:r w:rsidR="004A1CA3">
        <w:rPr>
          <w:rFonts w:ascii="Times New Roman" w:hAnsi="Times New Roman" w:cs="Times New Roman"/>
          <w:sz w:val="28"/>
          <w:szCs w:val="28"/>
        </w:rPr>
        <w:t xml:space="preserve">ade unions and/or associations) </w:t>
      </w:r>
      <w:r w:rsidR="008A375A">
        <w:rPr>
          <w:rFonts w:ascii="Times New Roman" w:hAnsi="Times New Roman" w:cs="Times New Roman"/>
          <w:sz w:val="28"/>
          <w:szCs w:val="28"/>
        </w:rPr>
        <w:t>that</w:t>
      </w:r>
      <w:r w:rsidR="00B73056">
        <w:rPr>
          <w:rFonts w:ascii="Times New Roman" w:hAnsi="Times New Roman" w:cs="Times New Roman"/>
          <w:sz w:val="28"/>
          <w:szCs w:val="28"/>
        </w:rPr>
        <w:t xml:space="preserve"> is connected with the employment or non-</w:t>
      </w:r>
      <w:r w:rsidR="00B73056">
        <w:rPr>
          <w:rFonts w:ascii="Times New Roman" w:hAnsi="Times New Roman" w:cs="Times New Roman"/>
          <w:sz w:val="28"/>
          <w:szCs w:val="28"/>
        </w:rPr>
        <w:lastRenderedPageBreak/>
        <w:t>employment</w:t>
      </w:r>
      <w:r w:rsidR="004A1CA3">
        <w:rPr>
          <w:rFonts w:ascii="Times New Roman" w:hAnsi="Times New Roman" w:cs="Times New Roman"/>
          <w:sz w:val="28"/>
          <w:szCs w:val="28"/>
        </w:rPr>
        <w:t>,</w:t>
      </w:r>
      <w:r w:rsidR="00B73056">
        <w:rPr>
          <w:rFonts w:ascii="Times New Roman" w:hAnsi="Times New Roman" w:cs="Times New Roman"/>
          <w:sz w:val="28"/>
          <w:szCs w:val="28"/>
        </w:rPr>
        <w:t xml:space="preserve"> or the terms of employment and physical conditions of work of any person.</w:t>
      </w:r>
      <w:r w:rsidR="00B73056">
        <w:rPr>
          <w:rStyle w:val="FootnoteReference"/>
          <w:rFonts w:ascii="Times New Roman" w:hAnsi="Times New Roman" w:cs="Times New Roman"/>
          <w:sz w:val="28"/>
          <w:szCs w:val="28"/>
        </w:rPr>
        <w:footnoteReference w:id="14"/>
      </w:r>
      <w:r w:rsidR="00B73056">
        <w:rPr>
          <w:rFonts w:ascii="Times New Roman" w:hAnsi="Times New Roman" w:cs="Times New Roman"/>
          <w:sz w:val="28"/>
          <w:szCs w:val="28"/>
        </w:rPr>
        <w:t xml:space="preserve"> The NICA 2006 further defines a trade dispute to also include disputes between their respective organizations and federations connected with</w:t>
      </w:r>
      <w:r w:rsidR="005B6BFB">
        <w:rPr>
          <w:rFonts w:ascii="Times New Roman" w:hAnsi="Times New Roman" w:cs="Times New Roman"/>
          <w:sz w:val="28"/>
          <w:szCs w:val="28"/>
        </w:rPr>
        <w:t xml:space="preserve"> the conclusion or variation of a collective agreement, and an alleged dispute.</w:t>
      </w:r>
      <w:r w:rsidR="005B6BFB">
        <w:rPr>
          <w:rStyle w:val="FootnoteReference"/>
          <w:rFonts w:ascii="Times New Roman" w:hAnsi="Times New Roman" w:cs="Times New Roman"/>
          <w:sz w:val="28"/>
          <w:szCs w:val="28"/>
        </w:rPr>
        <w:footnoteReference w:id="15"/>
      </w:r>
      <w:r w:rsidR="004A1CA3">
        <w:rPr>
          <w:rFonts w:ascii="Times New Roman" w:hAnsi="Times New Roman" w:cs="Times New Roman"/>
          <w:sz w:val="28"/>
          <w:szCs w:val="28"/>
        </w:rPr>
        <w:t xml:space="preserve"> The subject matter of a trade dispute may involve the employment or non-employment, express and implie</w:t>
      </w:r>
      <w:r w:rsidR="00A34D8F">
        <w:rPr>
          <w:rFonts w:ascii="Times New Roman" w:hAnsi="Times New Roman" w:cs="Times New Roman"/>
          <w:sz w:val="28"/>
          <w:szCs w:val="28"/>
        </w:rPr>
        <w:t>d terms in a contract in respect of</w:t>
      </w:r>
      <w:r w:rsidR="004A1CA3">
        <w:rPr>
          <w:rFonts w:ascii="Times New Roman" w:hAnsi="Times New Roman" w:cs="Times New Roman"/>
          <w:sz w:val="28"/>
          <w:szCs w:val="28"/>
        </w:rPr>
        <w:t xml:space="preserve"> wages, hours of work, grading</w:t>
      </w:r>
      <w:r w:rsidR="008A375A">
        <w:rPr>
          <w:rFonts w:ascii="Times New Roman" w:hAnsi="Times New Roman" w:cs="Times New Roman"/>
          <w:sz w:val="28"/>
          <w:szCs w:val="28"/>
        </w:rPr>
        <w:t>,</w:t>
      </w:r>
      <w:r w:rsidR="004A1CA3">
        <w:rPr>
          <w:rFonts w:ascii="Times New Roman" w:hAnsi="Times New Roman" w:cs="Times New Roman"/>
          <w:sz w:val="28"/>
          <w:szCs w:val="28"/>
        </w:rPr>
        <w:t xml:space="preserve"> promotion, mode of disengagement, redundancy, </w:t>
      </w:r>
      <w:r w:rsidR="00A34D8F">
        <w:rPr>
          <w:rFonts w:ascii="Times New Roman" w:hAnsi="Times New Roman" w:cs="Times New Roman"/>
          <w:sz w:val="28"/>
          <w:szCs w:val="28"/>
        </w:rPr>
        <w:t xml:space="preserve">organization of workers, </w:t>
      </w:r>
      <w:r w:rsidR="004A1CA3">
        <w:rPr>
          <w:rFonts w:ascii="Times New Roman" w:hAnsi="Times New Roman" w:cs="Times New Roman"/>
          <w:sz w:val="28"/>
          <w:szCs w:val="28"/>
        </w:rPr>
        <w:t>jurisdictional scope of trade unions,</w:t>
      </w:r>
      <w:r w:rsidR="00A34D8F">
        <w:rPr>
          <w:rFonts w:ascii="Times New Roman" w:hAnsi="Times New Roman" w:cs="Times New Roman"/>
          <w:sz w:val="28"/>
          <w:szCs w:val="28"/>
        </w:rPr>
        <w:t xml:space="preserve"> interpretation of a collective agreement</w:t>
      </w:r>
      <w:r w:rsidR="00BD76D1">
        <w:rPr>
          <w:rFonts w:ascii="Times New Roman" w:hAnsi="Times New Roman" w:cs="Times New Roman"/>
          <w:sz w:val="28"/>
          <w:szCs w:val="28"/>
        </w:rPr>
        <w:t>, casualization</w:t>
      </w:r>
      <w:r w:rsidR="00A34D8F">
        <w:rPr>
          <w:rFonts w:ascii="Times New Roman" w:hAnsi="Times New Roman" w:cs="Times New Roman"/>
          <w:sz w:val="28"/>
          <w:szCs w:val="28"/>
        </w:rPr>
        <w:t>.</w:t>
      </w:r>
      <w:r w:rsidR="00BD76D1">
        <w:rPr>
          <w:rFonts w:ascii="Times New Roman" w:hAnsi="Times New Roman" w:cs="Times New Roman"/>
          <w:sz w:val="28"/>
          <w:szCs w:val="28"/>
        </w:rPr>
        <w:t xml:space="preserve"> In other words, some of the causes of trade disputes and industrial crisis are poor remuneration, inflation, breach of collective agreements, refusal of employer to allow workers belong to trade unions and engage in collective bargaining, </w:t>
      </w:r>
      <w:r w:rsidR="00D7138F">
        <w:rPr>
          <w:rFonts w:ascii="Times New Roman" w:hAnsi="Times New Roman" w:cs="Times New Roman"/>
          <w:sz w:val="28"/>
          <w:szCs w:val="28"/>
        </w:rPr>
        <w:t xml:space="preserve">pay disparity, discrimination, and </w:t>
      </w:r>
      <w:r w:rsidR="00BD76D1">
        <w:rPr>
          <w:rFonts w:ascii="Times New Roman" w:hAnsi="Times New Roman" w:cs="Times New Roman"/>
          <w:sz w:val="28"/>
          <w:szCs w:val="28"/>
        </w:rPr>
        <w:t xml:space="preserve">policy inconsistencies </w:t>
      </w:r>
      <w:r w:rsidR="009C1B87">
        <w:rPr>
          <w:rFonts w:ascii="Times New Roman" w:hAnsi="Times New Roman" w:cs="Times New Roman"/>
          <w:sz w:val="28"/>
          <w:szCs w:val="28"/>
        </w:rPr>
        <w:t>by</w:t>
      </w:r>
      <w:r w:rsidR="00D7138F">
        <w:rPr>
          <w:rFonts w:ascii="Times New Roman" w:hAnsi="Times New Roman" w:cs="Times New Roman"/>
          <w:sz w:val="28"/>
          <w:szCs w:val="28"/>
        </w:rPr>
        <w:t xml:space="preserve"> management </w:t>
      </w:r>
      <w:r w:rsidR="00BD76D1">
        <w:rPr>
          <w:rFonts w:ascii="Times New Roman" w:hAnsi="Times New Roman" w:cs="Times New Roman"/>
          <w:sz w:val="28"/>
          <w:szCs w:val="28"/>
        </w:rPr>
        <w:t>in the workplace.</w:t>
      </w:r>
    </w:p>
    <w:p w14:paraId="3750556F" w14:textId="77777777" w:rsidR="00DF39BA" w:rsidRDefault="00DF39BA" w:rsidP="000939F5">
      <w:pPr>
        <w:spacing w:after="0" w:line="360" w:lineRule="auto"/>
        <w:jc w:val="both"/>
        <w:rPr>
          <w:rFonts w:ascii="Times New Roman" w:hAnsi="Times New Roman" w:cs="Times New Roman"/>
          <w:sz w:val="28"/>
          <w:szCs w:val="28"/>
        </w:rPr>
      </w:pPr>
    </w:p>
    <w:p w14:paraId="35E36B0A" w14:textId="75F77586" w:rsidR="00282AF7" w:rsidRDefault="00A6645E"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DF39BA">
        <w:rPr>
          <w:rFonts w:ascii="Times New Roman" w:hAnsi="Times New Roman" w:cs="Times New Roman"/>
          <w:sz w:val="28"/>
          <w:szCs w:val="28"/>
        </w:rPr>
        <w:t>] In industrial re</w:t>
      </w:r>
      <w:r w:rsidR="00E77134">
        <w:rPr>
          <w:rFonts w:ascii="Times New Roman" w:hAnsi="Times New Roman" w:cs="Times New Roman"/>
          <w:sz w:val="28"/>
          <w:szCs w:val="28"/>
        </w:rPr>
        <w:t xml:space="preserve">lations, interest articulation/projection when in contest between employer and employees is usually in </w:t>
      </w:r>
      <w:proofErr w:type="spellStart"/>
      <w:r w:rsidR="00E77134">
        <w:rPr>
          <w:rFonts w:ascii="Times New Roman" w:hAnsi="Times New Roman" w:cs="Times New Roman"/>
          <w:sz w:val="28"/>
          <w:szCs w:val="28"/>
        </w:rPr>
        <w:t>favour</w:t>
      </w:r>
      <w:proofErr w:type="spellEnd"/>
      <w:r w:rsidR="00E77134">
        <w:rPr>
          <w:rFonts w:ascii="Times New Roman" w:hAnsi="Times New Roman" w:cs="Times New Roman"/>
          <w:sz w:val="28"/>
          <w:szCs w:val="28"/>
        </w:rPr>
        <w:t xml:space="preserve"> of the employer. This is as a result of the asymmetrical power relationship between the parties that is skewed in </w:t>
      </w:r>
      <w:proofErr w:type="spellStart"/>
      <w:r w:rsidR="00E77134">
        <w:rPr>
          <w:rFonts w:ascii="Times New Roman" w:hAnsi="Times New Roman" w:cs="Times New Roman"/>
          <w:sz w:val="28"/>
          <w:szCs w:val="28"/>
        </w:rPr>
        <w:t>favour</w:t>
      </w:r>
      <w:proofErr w:type="spellEnd"/>
      <w:r w:rsidR="00E77134">
        <w:rPr>
          <w:rFonts w:ascii="Times New Roman" w:hAnsi="Times New Roman" w:cs="Times New Roman"/>
          <w:sz w:val="28"/>
          <w:szCs w:val="28"/>
        </w:rPr>
        <w:t xml:space="preserve"> of the employer. The imbalance of power is derived from the employers</w:t>
      </w:r>
      <w:r w:rsidR="008A375A">
        <w:rPr>
          <w:rFonts w:ascii="Times New Roman" w:hAnsi="Times New Roman" w:cs="Times New Roman"/>
          <w:sz w:val="28"/>
          <w:szCs w:val="28"/>
        </w:rPr>
        <w:t>’</w:t>
      </w:r>
      <w:r w:rsidR="00E77134">
        <w:rPr>
          <w:rFonts w:ascii="Times New Roman" w:hAnsi="Times New Roman" w:cs="Times New Roman"/>
          <w:sz w:val="28"/>
          <w:szCs w:val="28"/>
        </w:rPr>
        <w:t xml:space="preserve"> </w:t>
      </w:r>
      <w:r w:rsidR="008A375A">
        <w:rPr>
          <w:rFonts w:ascii="Times New Roman" w:hAnsi="Times New Roman" w:cs="Times New Roman"/>
          <w:sz w:val="28"/>
          <w:szCs w:val="28"/>
        </w:rPr>
        <w:t>possession of the weapon of coercion</w:t>
      </w:r>
      <w:r w:rsidR="00D15824">
        <w:rPr>
          <w:rFonts w:ascii="Times New Roman" w:hAnsi="Times New Roman" w:cs="Times New Roman"/>
          <w:sz w:val="28"/>
          <w:szCs w:val="28"/>
        </w:rPr>
        <w:t>, and this</w:t>
      </w:r>
      <w:r w:rsidR="008A375A">
        <w:rPr>
          <w:rFonts w:ascii="Times New Roman" w:hAnsi="Times New Roman" w:cs="Times New Roman"/>
          <w:sz w:val="28"/>
          <w:szCs w:val="28"/>
        </w:rPr>
        <w:t xml:space="preserve"> is the power</w:t>
      </w:r>
      <w:r w:rsidR="00D15824">
        <w:rPr>
          <w:rFonts w:ascii="Times New Roman" w:hAnsi="Times New Roman" w:cs="Times New Roman"/>
          <w:sz w:val="28"/>
          <w:szCs w:val="28"/>
        </w:rPr>
        <w:t xml:space="preserve"> to hire and fire employees thereby rendering the workers vulnerable and exploited.</w:t>
      </w:r>
      <w:r w:rsidR="00D7138F">
        <w:rPr>
          <w:rFonts w:ascii="Times New Roman" w:hAnsi="Times New Roman" w:cs="Times New Roman"/>
          <w:sz w:val="28"/>
          <w:szCs w:val="28"/>
        </w:rPr>
        <w:t xml:space="preserve"> </w:t>
      </w:r>
      <w:r w:rsidR="00D7138F" w:rsidRPr="00D7138F">
        <w:rPr>
          <w:rFonts w:ascii="Times New Roman" w:hAnsi="Times New Roman" w:cs="Times New Roman"/>
          <w:sz w:val="28"/>
          <w:szCs w:val="28"/>
        </w:rPr>
        <w:t xml:space="preserve">The policy of employers admits of a lot of paternalism with the resultant effect being the International </w:t>
      </w:r>
      <w:proofErr w:type="spellStart"/>
      <w:r w:rsidR="00D7138F" w:rsidRPr="00D7138F">
        <w:rPr>
          <w:rFonts w:ascii="Times New Roman" w:hAnsi="Times New Roman" w:cs="Times New Roman"/>
          <w:sz w:val="28"/>
          <w:szCs w:val="28"/>
        </w:rPr>
        <w:t>Labour</w:t>
      </w:r>
      <w:proofErr w:type="spellEnd"/>
      <w:r w:rsidR="00D7138F" w:rsidRPr="00D7138F">
        <w:rPr>
          <w:rFonts w:ascii="Times New Roman" w:hAnsi="Times New Roman" w:cs="Times New Roman"/>
          <w:sz w:val="28"/>
          <w:szCs w:val="28"/>
        </w:rPr>
        <w:t xml:space="preserve"> </w:t>
      </w:r>
      <w:proofErr w:type="spellStart"/>
      <w:r w:rsidR="00D7138F" w:rsidRPr="00D7138F">
        <w:rPr>
          <w:rFonts w:ascii="Times New Roman" w:hAnsi="Times New Roman" w:cs="Times New Roman"/>
          <w:sz w:val="28"/>
          <w:szCs w:val="28"/>
        </w:rPr>
        <w:t>Organisation</w:t>
      </w:r>
      <w:proofErr w:type="spellEnd"/>
      <w:r w:rsidR="00D7138F" w:rsidRPr="00D7138F">
        <w:rPr>
          <w:rFonts w:ascii="Times New Roman" w:hAnsi="Times New Roman" w:cs="Times New Roman"/>
          <w:sz w:val="28"/>
          <w:szCs w:val="28"/>
        </w:rPr>
        <w:t xml:space="preserve"> (ILO) primary goal to promote opportunities for men and women to obtain decent and productive work, in conditions of freedom, equity, security and human dignity. Decent work is the focus of the four strategic objectives of the ILO: the promotion of rights at work, </w:t>
      </w:r>
      <w:r w:rsidR="00D7138F" w:rsidRPr="00D7138F">
        <w:rPr>
          <w:rFonts w:ascii="Times New Roman" w:hAnsi="Times New Roman" w:cs="Times New Roman"/>
          <w:sz w:val="28"/>
          <w:szCs w:val="28"/>
        </w:rPr>
        <w:lastRenderedPageBreak/>
        <w:t>employment, social protection, and social dialogue.</w:t>
      </w:r>
      <w:r w:rsidR="00BE10E4">
        <w:rPr>
          <w:rFonts w:ascii="Times New Roman" w:hAnsi="Times New Roman" w:cs="Times New Roman"/>
          <w:sz w:val="28"/>
          <w:szCs w:val="28"/>
        </w:rPr>
        <w:t xml:space="preserve">  When</w:t>
      </w:r>
      <w:r w:rsidR="00D4705B">
        <w:rPr>
          <w:rFonts w:ascii="Times New Roman" w:hAnsi="Times New Roman" w:cs="Times New Roman"/>
          <w:sz w:val="28"/>
          <w:szCs w:val="28"/>
        </w:rPr>
        <w:t xml:space="preserve"> </w:t>
      </w:r>
      <w:r w:rsidR="00BE10E4">
        <w:rPr>
          <w:rFonts w:ascii="Times New Roman" w:hAnsi="Times New Roman" w:cs="Times New Roman"/>
          <w:sz w:val="28"/>
          <w:szCs w:val="28"/>
        </w:rPr>
        <w:t>workers and employers through their trade unions and associations are unable to</w:t>
      </w:r>
      <w:r w:rsidR="00D4705B">
        <w:rPr>
          <w:rFonts w:ascii="Times New Roman" w:hAnsi="Times New Roman" w:cs="Times New Roman"/>
          <w:sz w:val="28"/>
          <w:szCs w:val="28"/>
        </w:rPr>
        <w:t xml:space="preserve"> resolve a trade</w:t>
      </w:r>
      <w:r w:rsidR="00BE10E4">
        <w:rPr>
          <w:rFonts w:ascii="Times New Roman" w:hAnsi="Times New Roman" w:cs="Times New Roman"/>
          <w:sz w:val="28"/>
          <w:szCs w:val="28"/>
        </w:rPr>
        <w:t>/</w:t>
      </w:r>
      <w:proofErr w:type="spellStart"/>
      <w:r w:rsidR="00BE10E4">
        <w:rPr>
          <w:rFonts w:ascii="Times New Roman" w:hAnsi="Times New Roman" w:cs="Times New Roman"/>
          <w:sz w:val="28"/>
          <w:szCs w:val="28"/>
        </w:rPr>
        <w:t>labour</w:t>
      </w:r>
      <w:proofErr w:type="spellEnd"/>
      <w:r w:rsidR="00D4705B">
        <w:rPr>
          <w:rFonts w:ascii="Times New Roman" w:hAnsi="Times New Roman" w:cs="Times New Roman"/>
          <w:sz w:val="28"/>
          <w:szCs w:val="28"/>
        </w:rPr>
        <w:t xml:space="preserve"> dispute</w:t>
      </w:r>
      <w:r w:rsidR="00BE10E4">
        <w:rPr>
          <w:rFonts w:ascii="Times New Roman" w:hAnsi="Times New Roman" w:cs="Times New Roman"/>
          <w:sz w:val="28"/>
          <w:szCs w:val="28"/>
        </w:rPr>
        <w:t>, it re</w:t>
      </w:r>
      <w:r w:rsidR="00282AF7">
        <w:rPr>
          <w:rFonts w:ascii="Times New Roman" w:hAnsi="Times New Roman" w:cs="Times New Roman"/>
          <w:sz w:val="28"/>
          <w:szCs w:val="28"/>
        </w:rPr>
        <w:t>sults in industrial action</w:t>
      </w:r>
      <w:r w:rsidR="005903B8">
        <w:rPr>
          <w:rFonts w:ascii="Times New Roman" w:hAnsi="Times New Roman" w:cs="Times New Roman"/>
          <w:sz w:val="28"/>
          <w:szCs w:val="28"/>
        </w:rPr>
        <w:t xml:space="preserve"> in the form of strikes and lockouts</w:t>
      </w:r>
      <w:r w:rsidR="00282AF7">
        <w:rPr>
          <w:rFonts w:ascii="Times New Roman" w:hAnsi="Times New Roman" w:cs="Times New Roman"/>
          <w:sz w:val="28"/>
          <w:szCs w:val="28"/>
        </w:rPr>
        <w:t>.</w:t>
      </w:r>
      <w:r w:rsidR="00BE10E4">
        <w:rPr>
          <w:rFonts w:ascii="Times New Roman" w:hAnsi="Times New Roman" w:cs="Times New Roman"/>
          <w:sz w:val="28"/>
          <w:szCs w:val="28"/>
        </w:rPr>
        <w:t xml:space="preserve"> </w:t>
      </w:r>
    </w:p>
    <w:p w14:paraId="1BE56273" w14:textId="77777777" w:rsidR="00282AF7" w:rsidRDefault="00282AF7" w:rsidP="000939F5">
      <w:pPr>
        <w:spacing w:after="0" w:line="360" w:lineRule="auto"/>
        <w:jc w:val="both"/>
        <w:rPr>
          <w:rFonts w:ascii="Times New Roman" w:hAnsi="Times New Roman" w:cs="Times New Roman"/>
          <w:sz w:val="28"/>
          <w:szCs w:val="28"/>
        </w:rPr>
      </w:pPr>
    </w:p>
    <w:p w14:paraId="49FE9731" w14:textId="2FA929D3" w:rsidR="00282AF7" w:rsidRPr="00282AF7" w:rsidRDefault="00224338" w:rsidP="000939F5">
      <w:pPr>
        <w:spacing w:after="0"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INDUSTRIAL ACTIONS:</w:t>
      </w:r>
      <w:r w:rsidR="00282AF7" w:rsidRPr="00282AF7">
        <w:rPr>
          <w:rFonts w:ascii="Times New Roman" w:hAnsi="Times New Roman" w:cs="Times New Roman"/>
          <w:b/>
          <w:sz w:val="26"/>
          <w:szCs w:val="26"/>
          <w:u w:val="single"/>
        </w:rPr>
        <w:t xml:space="preserve"> STRIKES</w:t>
      </w:r>
      <w:r>
        <w:rPr>
          <w:rFonts w:ascii="Times New Roman" w:hAnsi="Times New Roman" w:cs="Times New Roman"/>
          <w:b/>
          <w:sz w:val="26"/>
          <w:szCs w:val="26"/>
          <w:u w:val="single"/>
        </w:rPr>
        <w:t xml:space="preserve"> AND LOCKOUTS</w:t>
      </w:r>
    </w:p>
    <w:p w14:paraId="25AB3D93" w14:textId="77777777" w:rsidR="00282AF7" w:rsidRPr="00282AF7" w:rsidRDefault="00282AF7" w:rsidP="000939F5">
      <w:pPr>
        <w:spacing w:after="0" w:line="360" w:lineRule="auto"/>
        <w:jc w:val="both"/>
        <w:rPr>
          <w:rFonts w:ascii="Times New Roman" w:hAnsi="Times New Roman" w:cs="Times New Roman"/>
          <w:b/>
          <w:sz w:val="28"/>
          <w:szCs w:val="28"/>
          <w:u w:val="single"/>
        </w:rPr>
      </w:pPr>
    </w:p>
    <w:p w14:paraId="182C0CCA" w14:textId="7BA007CB" w:rsidR="00B7395F" w:rsidRDefault="00A6645E" w:rsidP="00B739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B7395F">
        <w:rPr>
          <w:rFonts w:ascii="Times New Roman" w:hAnsi="Times New Roman" w:cs="Times New Roman"/>
          <w:sz w:val="28"/>
          <w:szCs w:val="28"/>
        </w:rPr>
        <w:t>] The right to strike is an integral part of the freedom of every citizen to associate with others particularly to form or join a trade union of his/her choice for the protection of his/her interest that is entrenched in the 1999 Constitution.</w:t>
      </w:r>
      <w:r w:rsidR="00B7395F">
        <w:rPr>
          <w:rStyle w:val="FootnoteReference"/>
          <w:rFonts w:ascii="Times New Roman" w:hAnsi="Times New Roman" w:cs="Times New Roman"/>
          <w:sz w:val="28"/>
          <w:szCs w:val="28"/>
        </w:rPr>
        <w:footnoteReference w:id="16"/>
      </w:r>
      <w:r w:rsidR="00B7395F">
        <w:rPr>
          <w:rFonts w:ascii="Times New Roman" w:hAnsi="Times New Roman" w:cs="Times New Roman"/>
          <w:sz w:val="28"/>
          <w:szCs w:val="28"/>
        </w:rPr>
        <w:t xml:space="preserve"> Intrinsic in this freed</w:t>
      </w:r>
      <w:r w:rsidR="002D2D49">
        <w:rPr>
          <w:rFonts w:ascii="Times New Roman" w:hAnsi="Times New Roman" w:cs="Times New Roman"/>
          <w:sz w:val="28"/>
          <w:szCs w:val="28"/>
        </w:rPr>
        <w:t>om is the right of every worker</w:t>
      </w:r>
      <w:r w:rsidR="00B7395F">
        <w:rPr>
          <w:rFonts w:ascii="Times New Roman" w:hAnsi="Times New Roman" w:cs="Times New Roman"/>
          <w:sz w:val="28"/>
          <w:szCs w:val="28"/>
        </w:rPr>
        <w:t xml:space="preserve"> to give or withdraw his/her services by giving notice to his/her employer in accordanc</w:t>
      </w:r>
      <w:r w:rsidR="005F085E">
        <w:rPr>
          <w:rFonts w:ascii="Times New Roman" w:hAnsi="Times New Roman" w:cs="Times New Roman"/>
          <w:sz w:val="28"/>
          <w:szCs w:val="28"/>
        </w:rPr>
        <w:t xml:space="preserve">e with the terms of employment. </w:t>
      </w:r>
      <w:r w:rsidR="00B7395F">
        <w:rPr>
          <w:rFonts w:ascii="Times New Roman" w:hAnsi="Times New Roman" w:cs="Times New Roman"/>
          <w:sz w:val="28"/>
          <w:szCs w:val="28"/>
        </w:rPr>
        <w:t xml:space="preserve">Nigeria has ratified International </w:t>
      </w:r>
      <w:proofErr w:type="spellStart"/>
      <w:r w:rsidR="00B7395F">
        <w:rPr>
          <w:rFonts w:ascii="Times New Roman" w:hAnsi="Times New Roman" w:cs="Times New Roman"/>
          <w:sz w:val="28"/>
          <w:szCs w:val="28"/>
        </w:rPr>
        <w:t>Labour</w:t>
      </w:r>
      <w:proofErr w:type="spellEnd"/>
      <w:r w:rsidR="00B7395F">
        <w:rPr>
          <w:rFonts w:ascii="Times New Roman" w:hAnsi="Times New Roman" w:cs="Times New Roman"/>
          <w:sz w:val="28"/>
          <w:szCs w:val="28"/>
        </w:rPr>
        <w:t xml:space="preserve"> </w:t>
      </w:r>
      <w:proofErr w:type="spellStart"/>
      <w:r w:rsidR="00B7395F">
        <w:rPr>
          <w:rFonts w:ascii="Times New Roman" w:hAnsi="Times New Roman" w:cs="Times New Roman"/>
          <w:sz w:val="28"/>
          <w:szCs w:val="28"/>
        </w:rPr>
        <w:t>Organisation</w:t>
      </w:r>
      <w:proofErr w:type="spellEnd"/>
      <w:r w:rsidR="00B7395F">
        <w:rPr>
          <w:rFonts w:ascii="Times New Roman" w:hAnsi="Times New Roman" w:cs="Times New Roman"/>
          <w:sz w:val="28"/>
          <w:szCs w:val="28"/>
        </w:rPr>
        <w:t xml:space="preserve"> (ILO) Convention No 87 on Freedom of Association and Protecti</w:t>
      </w:r>
      <w:r w:rsidR="002D2D49">
        <w:rPr>
          <w:rFonts w:ascii="Times New Roman" w:hAnsi="Times New Roman" w:cs="Times New Roman"/>
          <w:sz w:val="28"/>
          <w:szCs w:val="28"/>
        </w:rPr>
        <w:t xml:space="preserve">on of the Right to </w:t>
      </w:r>
      <w:proofErr w:type="spellStart"/>
      <w:r w:rsidR="002D2D49">
        <w:rPr>
          <w:rFonts w:ascii="Times New Roman" w:hAnsi="Times New Roman" w:cs="Times New Roman"/>
          <w:sz w:val="28"/>
          <w:szCs w:val="28"/>
        </w:rPr>
        <w:t>Organise</w:t>
      </w:r>
      <w:proofErr w:type="spellEnd"/>
      <w:r w:rsidR="002D2D49">
        <w:rPr>
          <w:rFonts w:ascii="Times New Roman" w:hAnsi="Times New Roman" w:cs="Times New Roman"/>
          <w:sz w:val="28"/>
          <w:szCs w:val="28"/>
        </w:rPr>
        <w:t>, and</w:t>
      </w:r>
      <w:r w:rsidR="00B7395F">
        <w:rPr>
          <w:rFonts w:ascii="Times New Roman" w:hAnsi="Times New Roman" w:cs="Times New Roman"/>
          <w:sz w:val="28"/>
          <w:szCs w:val="28"/>
        </w:rPr>
        <w:t xml:space="preserve"> Convention No 98 on Right to </w:t>
      </w:r>
      <w:proofErr w:type="spellStart"/>
      <w:r w:rsidR="00B7395F">
        <w:rPr>
          <w:rFonts w:ascii="Times New Roman" w:hAnsi="Times New Roman" w:cs="Times New Roman"/>
          <w:sz w:val="28"/>
          <w:szCs w:val="28"/>
        </w:rPr>
        <w:t>Organise</w:t>
      </w:r>
      <w:proofErr w:type="spellEnd"/>
      <w:r w:rsidR="00B7395F">
        <w:rPr>
          <w:rFonts w:ascii="Times New Roman" w:hAnsi="Times New Roman" w:cs="Times New Roman"/>
          <w:sz w:val="28"/>
          <w:szCs w:val="28"/>
        </w:rPr>
        <w:t xml:space="preserve"> and </w:t>
      </w:r>
      <w:r w:rsidR="002D2D49">
        <w:rPr>
          <w:rFonts w:ascii="Times New Roman" w:hAnsi="Times New Roman" w:cs="Times New Roman"/>
          <w:sz w:val="28"/>
          <w:szCs w:val="28"/>
        </w:rPr>
        <w:t>Collective Bargaining; and has domesticated the African Charter on Human and Peoples Rights which recognizes the right to freedom of association, and the right to strike.</w:t>
      </w:r>
      <w:r w:rsidR="005F085E">
        <w:rPr>
          <w:rFonts w:ascii="Times New Roman" w:hAnsi="Times New Roman" w:cs="Times New Roman"/>
          <w:sz w:val="28"/>
          <w:szCs w:val="28"/>
        </w:rPr>
        <w:t xml:space="preserve"> The right to strike is the most potent weapon at the disposal of workers for compelling collective bargaining and enforcing collective agreements.</w:t>
      </w:r>
    </w:p>
    <w:p w14:paraId="0DAD6B3F" w14:textId="77777777" w:rsidR="00CE7AB0" w:rsidRDefault="00CE7AB0" w:rsidP="00B7395F">
      <w:pPr>
        <w:spacing w:after="0" w:line="360" w:lineRule="auto"/>
        <w:jc w:val="both"/>
        <w:rPr>
          <w:rFonts w:ascii="Times New Roman" w:hAnsi="Times New Roman" w:cs="Times New Roman"/>
          <w:sz w:val="28"/>
          <w:szCs w:val="28"/>
        </w:rPr>
      </w:pPr>
    </w:p>
    <w:p w14:paraId="1BEA3C3D" w14:textId="58A71119" w:rsidR="00224338" w:rsidRDefault="00A6645E" w:rsidP="003C4C6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[13</w:t>
      </w:r>
      <w:r w:rsidR="00282AF7">
        <w:rPr>
          <w:rFonts w:ascii="Times New Roman" w:hAnsi="Times New Roman" w:cs="Times New Roman"/>
          <w:sz w:val="28"/>
          <w:szCs w:val="28"/>
        </w:rPr>
        <w:t xml:space="preserve">] </w:t>
      </w:r>
      <w:r w:rsidR="00224338">
        <w:rPr>
          <w:rFonts w:ascii="Times New Roman" w:hAnsi="Times New Roman" w:cs="Times New Roman"/>
          <w:sz w:val="28"/>
          <w:szCs w:val="28"/>
        </w:rPr>
        <w:t>A s</w:t>
      </w:r>
      <w:r w:rsidR="00BE10E4">
        <w:rPr>
          <w:rFonts w:ascii="Times New Roman" w:hAnsi="Times New Roman" w:cs="Times New Roman"/>
          <w:sz w:val="28"/>
          <w:szCs w:val="28"/>
        </w:rPr>
        <w:t>t</w:t>
      </w:r>
      <w:r w:rsidR="00DD6263">
        <w:rPr>
          <w:rFonts w:ascii="Times New Roman" w:hAnsi="Times New Roman" w:cs="Times New Roman"/>
          <w:sz w:val="28"/>
          <w:szCs w:val="28"/>
        </w:rPr>
        <w:t>rike ac</w:t>
      </w:r>
      <w:r w:rsidR="00224338">
        <w:rPr>
          <w:rFonts w:ascii="Times New Roman" w:hAnsi="Times New Roman" w:cs="Times New Roman"/>
          <w:sz w:val="28"/>
          <w:szCs w:val="28"/>
        </w:rPr>
        <w:t>tion</w:t>
      </w:r>
      <w:r w:rsidR="00DD6263">
        <w:rPr>
          <w:rFonts w:ascii="Times New Roman" w:hAnsi="Times New Roman" w:cs="Times New Roman"/>
          <w:sz w:val="28"/>
          <w:szCs w:val="28"/>
        </w:rPr>
        <w:t xml:space="preserve"> is a collective action of the employees that involves the withdrawal of </w:t>
      </w:r>
      <w:proofErr w:type="spellStart"/>
      <w:r w:rsidR="00DD6263">
        <w:rPr>
          <w:rFonts w:ascii="Times New Roman" w:hAnsi="Times New Roman" w:cs="Times New Roman"/>
          <w:sz w:val="28"/>
          <w:szCs w:val="28"/>
        </w:rPr>
        <w:t>labour</w:t>
      </w:r>
      <w:proofErr w:type="spellEnd"/>
      <w:r w:rsidR="00DD6263">
        <w:rPr>
          <w:rFonts w:ascii="Times New Roman" w:hAnsi="Times New Roman" w:cs="Times New Roman"/>
          <w:sz w:val="28"/>
          <w:szCs w:val="28"/>
        </w:rPr>
        <w:t xml:space="preserve"> by the employees to press home their demands. </w:t>
      </w:r>
      <w:r w:rsidR="005903B8">
        <w:rPr>
          <w:rFonts w:ascii="Times New Roman" w:hAnsi="Times New Roman" w:cs="Times New Roman"/>
          <w:sz w:val="28"/>
          <w:szCs w:val="28"/>
          <w:lang w:val="en-GB"/>
        </w:rPr>
        <w:t>T</w:t>
      </w:r>
      <w:r w:rsidR="003C4C67">
        <w:rPr>
          <w:rFonts w:ascii="Times New Roman" w:hAnsi="Times New Roman" w:cs="Times New Roman"/>
          <w:sz w:val="28"/>
          <w:szCs w:val="28"/>
          <w:lang w:val="en-GB"/>
        </w:rPr>
        <w:t>he Trade Disputes Act</w:t>
      </w:r>
      <w:r w:rsidR="005903B8">
        <w:rPr>
          <w:rFonts w:ascii="Times New Roman" w:hAnsi="Times New Roman" w:cs="Times New Roman"/>
          <w:sz w:val="28"/>
          <w:szCs w:val="28"/>
          <w:lang w:val="en-GB"/>
        </w:rPr>
        <w:t xml:space="preserve"> (TDA)</w:t>
      </w:r>
      <w:r w:rsidR="003C4C67">
        <w:rPr>
          <w:rFonts w:ascii="Times New Roman" w:hAnsi="Times New Roman" w:cs="Times New Roman"/>
          <w:sz w:val="28"/>
          <w:szCs w:val="28"/>
          <w:lang w:val="en-GB"/>
        </w:rPr>
        <w:t xml:space="preserve"> defines strike as “</w:t>
      </w:r>
      <w:r w:rsidR="00292F21" w:rsidRPr="00355CA7">
        <w:rPr>
          <w:rFonts w:ascii="Times New Roman" w:hAnsi="Times New Roman" w:cs="Times New Roman"/>
          <w:sz w:val="28"/>
          <w:szCs w:val="28"/>
          <w:lang w:val="en-GB"/>
        </w:rPr>
        <w:t xml:space="preserve">the cessation of work by a body of persons employed acting in combination or a concerted refusal or a refusal under a common understanding of any number of persons employed to continue to work for an employer in consequence of a dispute, done as a means of compelling their employer or any person or </w:t>
      </w:r>
      <w:r w:rsidR="00292F21" w:rsidRPr="00355CA7">
        <w:rPr>
          <w:rFonts w:ascii="Times New Roman" w:hAnsi="Times New Roman" w:cs="Times New Roman"/>
          <w:sz w:val="28"/>
          <w:szCs w:val="28"/>
          <w:lang w:val="en-GB"/>
        </w:rPr>
        <w:lastRenderedPageBreak/>
        <w:t>body of persons employed, to accept or not to accept any terms of employment and physical conditions of work</w:t>
      </w:r>
      <w:r w:rsidR="005903B8">
        <w:rPr>
          <w:rStyle w:val="FootnoteReference"/>
          <w:rFonts w:ascii="Times New Roman" w:hAnsi="Times New Roman" w:cs="Times New Roman"/>
          <w:sz w:val="28"/>
          <w:szCs w:val="28"/>
          <w:lang w:val="en-GB"/>
        </w:rPr>
        <w:footnoteReference w:id="17"/>
      </w:r>
      <w:r w:rsidR="003C4C67">
        <w:rPr>
          <w:rFonts w:ascii="Times New Roman" w:hAnsi="Times New Roman" w:cs="Times New Roman"/>
          <w:sz w:val="28"/>
          <w:szCs w:val="28"/>
          <w:lang w:val="en-GB"/>
        </w:rPr>
        <w:t>”</w:t>
      </w:r>
      <w:r w:rsidR="00292F21" w:rsidRPr="00355CA7">
        <w:rPr>
          <w:rFonts w:ascii="Times New Roman" w:hAnsi="Times New Roman" w:cs="Times New Roman"/>
          <w:sz w:val="28"/>
          <w:szCs w:val="28"/>
          <w:lang w:val="en-GB"/>
        </w:rPr>
        <w:t>.</w:t>
      </w:r>
      <w:r w:rsidR="003C4C67">
        <w:rPr>
          <w:rFonts w:ascii="Times New Roman" w:hAnsi="Times New Roman" w:cs="Times New Roman"/>
          <w:sz w:val="28"/>
          <w:szCs w:val="28"/>
          <w:lang w:val="en-GB"/>
        </w:rPr>
        <w:t xml:space="preserve"> The actions that  constitute strike are ‘cessation of work’ and ‘concerted refusal’ to continue to work. Strike actions include work to rule, ban on overtime</w:t>
      </w:r>
      <w:r w:rsidR="005903B8">
        <w:rPr>
          <w:rFonts w:ascii="Times New Roman" w:hAnsi="Times New Roman" w:cs="Times New Roman"/>
          <w:sz w:val="28"/>
          <w:szCs w:val="28"/>
          <w:lang w:val="en-GB"/>
        </w:rPr>
        <w:t>, go-slow</w:t>
      </w:r>
      <w:r w:rsidR="003C4C67">
        <w:rPr>
          <w:rFonts w:ascii="Times New Roman" w:hAnsi="Times New Roman" w:cs="Times New Roman"/>
          <w:sz w:val="28"/>
          <w:szCs w:val="28"/>
          <w:lang w:val="en-GB"/>
        </w:rPr>
        <w:t xml:space="preserve"> or working at less tha</w:t>
      </w:r>
      <w:r w:rsidR="005903B8">
        <w:rPr>
          <w:rFonts w:ascii="Times New Roman" w:hAnsi="Times New Roman" w:cs="Times New Roman"/>
          <w:sz w:val="28"/>
          <w:szCs w:val="28"/>
          <w:lang w:val="en-GB"/>
        </w:rPr>
        <w:t>n usual speed, or with less than</w:t>
      </w:r>
      <w:r w:rsidR="003C4C67">
        <w:rPr>
          <w:rFonts w:ascii="Times New Roman" w:hAnsi="Times New Roman" w:cs="Times New Roman"/>
          <w:sz w:val="28"/>
          <w:szCs w:val="28"/>
          <w:lang w:val="en-GB"/>
        </w:rPr>
        <w:t xml:space="preserve"> usual efficiency. Employees that embark on strike without following the dispute resolution processes are not entitled to pay for the duration of the strike</w:t>
      </w:r>
      <w:r w:rsidR="005903B8">
        <w:rPr>
          <w:rFonts w:ascii="Times New Roman" w:hAnsi="Times New Roman" w:cs="Times New Roman"/>
          <w:sz w:val="28"/>
          <w:szCs w:val="28"/>
          <w:lang w:val="en-GB"/>
        </w:rPr>
        <w:t xml:space="preserve"> but this is rarely enforced in industrial relations practice.</w:t>
      </w:r>
    </w:p>
    <w:p w14:paraId="132C98E2" w14:textId="09BFD20E" w:rsidR="000F355B" w:rsidRDefault="00A6645E" w:rsidP="003C4C6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[14</w:t>
      </w:r>
      <w:r w:rsidR="000F355B">
        <w:rPr>
          <w:rFonts w:ascii="Times New Roman" w:hAnsi="Times New Roman" w:cs="Times New Roman"/>
          <w:sz w:val="28"/>
          <w:szCs w:val="28"/>
          <w:lang w:val="en-GB"/>
        </w:rPr>
        <w:t>] The conditions workers must fulfil before embarking on a lawful strike are contained in the Trade Unions (Amendment) Act</w:t>
      </w:r>
      <w:r w:rsidR="000F355B">
        <w:rPr>
          <w:rStyle w:val="FootnoteReference"/>
          <w:rFonts w:ascii="Times New Roman" w:hAnsi="Times New Roman" w:cs="Times New Roman"/>
          <w:sz w:val="28"/>
          <w:szCs w:val="28"/>
          <w:lang w:val="en-GB"/>
        </w:rPr>
        <w:footnoteReference w:id="18"/>
      </w:r>
      <w:r w:rsidR="000F355B">
        <w:rPr>
          <w:rFonts w:ascii="Times New Roman" w:hAnsi="Times New Roman" w:cs="Times New Roman"/>
          <w:sz w:val="28"/>
          <w:szCs w:val="28"/>
          <w:lang w:val="en-GB"/>
        </w:rPr>
        <w:t xml:space="preserve"> and the Trade Disputes Act</w:t>
      </w:r>
      <w:r w:rsidR="00995E0E">
        <w:rPr>
          <w:rFonts w:ascii="Times New Roman" w:hAnsi="Times New Roman" w:cs="Times New Roman"/>
          <w:sz w:val="28"/>
          <w:szCs w:val="28"/>
          <w:lang w:val="en-GB"/>
        </w:rPr>
        <w:t>.</w:t>
      </w:r>
      <w:r w:rsidR="000F355B">
        <w:rPr>
          <w:rStyle w:val="FootnoteReference"/>
          <w:rFonts w:ascii="Times New Roman" w:hAnsi="Times New Roman" w:cs="Times New Roman"/>
          <w:sz w:val="28"/>
          <w:szCs w:val="28"/>
          <w:lang w:val="en-GB"/>
        </w:rPr>
        <w:footnoteReference w:id="19"/>
      </w:r>
      <w:r w:rsidR="00995E0E">
        <w:rPr>
          <w:rFonts w:ascii="Times New Roman" w:hAnsi="Times New Roman" w:cs="Times New Roman"/>
          <w:sz w:val="28"/>
          <w:szCs w:val="28"/>
          <w:lang w:val="en-GB"/>
        </w:rPr>
        <w:t xml:space="preserve"> The workers and their union must not be engaged in the provision of essential services; the strike must be in contemplation or furtherance of a labour dispute that must constitute a dispute of right; the dispute resolution mechanism in the TDA must be complied with; the union must have conducted a ballot at which the simple majority of all registered members voted to go on strike</w:t>
      </w:r>
      <w:r w:rsidR="00995E0E">
        <w:rPr>
          <w:rStyle w:val="FootnoteReference"/>
          <w:rFonts w:ascii="Times New Roman" w:hAnsi="Times New Roman" w:cs="Times New Roman"/>
          <w:sz w:val="28"/>
          <w:szCs w:val="28"/>
          <w:lang w:val="en-GB"/>
        </w:rPr>
        <w:footnoteReference w:id="20"/>
      </w:r>
      <w:r w:rsidR="00995E0E">
        <w:rPr>
          <w:rFonts w:ascii="Times New Roman" w:hAnsi="Times New Roman" w:cs="Times New Roman"/>
          <w:sz w:val="28"/>
          <w:szCs w:val="28"/>
          <w:lang w:val="en-GB"/>
        </w:rPr>
        <w:t>;</w:t>
      </w:r>
      <w:r w:rsidR="000611A5">
        <w:rPr>
          <w:rFonts w:ascii="Times New Roman" w:hAnsi="Times New Roman" w:cs="Times New Roman"/>
          <w:sz w:val="28"/>
          <w:szCs w:val="28"/>
          <w:lang w:val="en-GB"/>
        </w:rPr>
        <w:t xml:space="preserve"> the trade union must provide the employer with a written notice of the intention to go on strike, specifying the reasons and duration. The notice must be given at least 15 days before the commencement of the strike,</w:t>
      </w:r>
      <w:r w:rsidR="000611A5">
        <w:rPr>
          <w:rStyle w:val="FootnoteReference"/>
          <w:rFonts w:ascii="Times New Roman" w:hAnsi="Times New Roman" w:cs="Times New Roman"/>
          <w:sz w:val="28"/>
          <w:szCs w:val="28"/>
          <w:lang w:val="en-GB"/>
        </w:rPr>
        <w:footnoteReference w:id="21"/>
      </w:r>
      <w:r w:rsidR="000611A5">
        <w:rPr>
          <w:rFonts w:ascii="Times New Roman" w:hAnsi="Times New Roman" w:cs="Times New Roman"/>
          <w:sz w:val="28"/>
          <w:szCs w:val="28"/>
          <w:lang w:val="en-GB"/>
        </w:rPr>
        <w:t xml:space="preserve"> and the strike must be peaceful and unarmed. The decision of the Court of Appeal in </w:t>
      </w:r>
      <w:r w:rsidR="00C32296" w:rsidRPr="00C32296">
        <w:rPr>
          <w:rFonts w:ascii="Times New Roman" w:hAnsi="Times New Roman" w:cs="Times New Roman"/>
          <w:i/>
          <w:sz w:val="28"/>
          <w:szCs w:val="28"/>
          <w:lang w:val="en-GB"/>
        </w:rPr>
        <w:t>Federal Government of Nigeria v</w:t>
      </w:r>
      <w:r w:rsidR="00C32296">
        <w:rPr>
          <w:rFonts w:ascii="Times New Roman" w:hAnsi="Times New Roman" w:cs="Times New Roman"/>
          <w:sz w:val="28"/>
          <w:szCs w:val="28"/>
          <w:lang w:val="en-GB"/>
        </w:rPr>
        <w:t xml:space="preserve"> </w:t>
      </w:r>
      <w:r w:rsidR="000611A5">
        <w:rPr>
          <w:rFonts w:ascii="Times New Roman" w:hAnsi="Times New Roman" w:cs="Times New Roman"/>
          <w:i/>
          <w:sz w:val="28"/>
          <w:szCs w:val="28"/>
          <w:lang w:val="en-GB"/>
        </w:rPr>
        <w:t xml:space="preserve">Adams </w:t>
      </w:r>
      <w:proofErr w:type="spellStart"/>
      <w:r w:rsidR="000611A5">
        <w:rPr>
          <w:rFonts w:ascii="Times New Roman" w:hAnsi="Times New Roman" w:cs="Times New Roman"/>
          <w:i/>
          <w:sz w:val="28"/>
          <w:szCs w:val="28"/>
          <w:lang w:val="en-GB"/>
        </w:rPr>
        <w:t>Oshiomole</w:t>
      </w:r>
      <w:proofErr w:type="spellEnd"/>
      <w:r w:rsidR="00C32296">
        <w:rPr>
          <w:rStyle w:val="FootnoteReference"/>
          <w:rFonts w:ascii="Times New Roman" w:hAnsi="Times New Roman" w:cs="Times New Roman"/>
          <w:i/>
          <w:sz w:val="28"/>
          <w:szCs w:val="28"/>
          <w:lang w:val="en-GB"/>
        </w:rPr>
        <w:footnoteReference w:id="22"/>
      </w:r>
      <w:r w:rsidR="00C32296">
        <w:rPr>
          <w:rFonts w:ascii="Times New Roman" w:hAnsi="Times New Roman" w:cs="Times New Roman"/>
          <w:sz w:val="28"/>
          <w:szCs w:val="28"/>
          <w:lang w:val="en-GB"/>
        </w:rPr>
        <w:t xml:space="preserve"> reinforced the need and importance of following the laid down procedure before embarking on a strike action.</w:t>
      </w:r>
    </w:p>
    <w:p w14:paraId="00887214" w14:textId="68938742" w:rsidR="0044283C" w:rsidRDefault="00A6645E"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5903B8">
        <w:rPr>
          <w:rFonts w:ascii="Times New Roman" w:hAnsi="Times New Roman" w:cs="Times New Roman"/>
          <w:sz w:val="28"/>
          <w:szCs w:val="28"/>
        </w:rPr>
        <w:t>] Failure to resolve the dispute</w:t>
      </w:r>
      <w:r w:rsidR="00DD6263">
        <w:rPr>
          <w:rFonts w:ascii="Times New Roman" w:hAnsi="Times New Roman" w:cs="Times New Roman"/>
          <w:sz w:val="28"/>
          <w:szCs w:val="28"/>
        </w:rPr>
        <w:t xml:space="preserve"> could also result in a lockout defined in the T</w:t>
      </w:r>
      <w:r w:rsidR="00946669">
        <w:rPr>
          <w:rFonts w:ascii="Times New Roman" w:hAnsi="Times New Roman" w:cs="Times New Roman"/>
          <w:sz w:val="28"/>
          <w:szCs w:val="28"/>
        </w:rPr>
        <w:t>rade Dispute Act (T</w:t>
      </w:r>
      <w:r w:rsidR="00DD6263">
        <w:rPr>
          <w:rFonts w:ascii="Times New Roman" w:hAnsi="Times New Roman" w:cs="Times New Roman"/>
          <w:sz w:val="28"/>
          <w:szCs w:val="28"/>
        </w:rPr>
        <w:t>DA</w:t>
      </w:r>
      <w:r w:rsidR="00946669">
        <w:rPr>
          <w:rFonts w:ascii="Times New Roman" w:hAnsi="Times New Roman" w:cs="Times New Roman"/>
          <w:sz w:val="28"/>
          <w:szCs w:val="28"/>
        </w:rPr>
        <w:t>)</w:t>
      </w:r>
      <w:r w:rsidR="00DD6263">
        <w:rPr>
          <w:rStyle w:val="FootnoteReference"/>
          <w:rFonts w:ascii="Times New Roman" w:hAnsi="Times New Roman" w:cs="Times New Roman"/>
          <w:sz w:val="28"/>
          <w:szCs w:val="28"/>
        </w:rPr>
        <w:footnoteReference w:id="23"/>
      </w:r>
      <w:r w:rsidR="00946669">
        <w:rPr>
          <w:rFonts w:ascii="Times New Roman" w:hAnsi="Times New Roman" w:cs="Times New Roman"/>
          <w:sz w:val="28"/>
          <w:szCs w:val="28"/>
        </w:rPr>
        <w:t xml:space="preserve"> as </w:t>
      </w:r>
      <w:r w:rsidR="005903B8">
        <w:rPr>
          <w:rFonts w:ascii="Times New Roman" w:hAnsi="Times New Roman" w:cs="Times New Roman"/>
          <w:sz w:val="28"/>
          <w:szCs w:val="28"/>
        </w:rPr>
        <w:t>“</w:t>
      </w:r>
      <w:r w:rsidR="00946669">
        <w:rPr>
          <w:rFonts w:ascii="Times New Roman" w:hAnsi="Times New Roman" w:cs="Times New Roman"/>
          <w:sz w:val="28"/>
          <w:szCs w:val="28"/>
        </w:rPr>
        <w:t xml:space="preserve">the closing of a place of employment </w:t>
      </w:r>
      <w:r w:rsidR="00946669">
        <w:rPr>
          <w:rFonts w:ascii="Times New Roman" w:hAnsi="Times New Roman" w:cs="Times New Roman"/>
          <w:sz w:val="28"/>
          <w:szCs w:val="28"/>
        </w:rPr>
        <w:lastRenderedPageBreak/>
        <w:t>or the suspension of work or refusal by an employer to continue to employ any number of persons employed by him in consequence of a dispute done with a view to compelling those persons, or to aid another employer in compelling persons employed by him to accept terms of employment and physical conditions of work</w:t>
      </w:r>
      <w:r w:rsidR="005903B8">
        <w:rPr>
          <w:rFonts w:ascii="Times New Roman" w:hAnsi="Times New Roman" w:cs="Times New Roman"/>
          <w:sz w:val="28"/>
          <w:szCs w:val="28"/>
        </w:rPr>
        <w:t>”</w:t>
      </w:r>
      <w:r w:rsidR="00946669">
        <w:rPr>
          <w:rFonts w:ascii="Times New Roman" w:hAnsi="Times New Roman" w:cs="Times New Roman"/>
          <w:sz w:val="28"/>
          <w:szCs w:val="28"/>
        </w:rPr>
        <w:t>.</w:t>
      </w:r>
      <w:r w:rsidR="005903B8">
        <w:rPr>
          <w:rFonts w:ascii="Times New Roman" w:hAnsi="Times New Roman" w:cs="Times New Roman"/>
          <w:sz w:val="28"/>
          <w:szCs w:val="28"/>
        </w:rPr>
        <w:t xml:space="preserve"> Where an employer locks out his employees, they are entitled to wages and other accruable income for the period of the lockout and thi</w:t>
      </w:r>
      <w:r w:rsidR="00223BBF">
        <w:rPr>
          <w:rFonts w:ascii="Times New Roman" w:hAnsi="Times New Roman" w:cs="Times New Roman"/>
          <w:sz w:val="28"/>
          <w:szCs w:val="28"/>
        </w:rPr>
        <w:t>s period must not prejudicially</w:t>
      </w:r>
      <w:r w:rsidR="005903B8">
        <w:rPr>
          <w:rFonts w:ascii="Times New Roman" w:hAnsi="Times New Roman" w:cs="Times New Roman"/>
          <w:sz w:val="28"/>
          <w:szCs w:val="28"/>
        </w:rPr>
        <w:t xml:space="preserve"> affect any rights of the </w:t>
      </w:r>
      <w:r w:rsidR="00223BBF">
        <w:rPr>
          <w:rFonts w:ascii="Times New Roman" w:hAnsi="Times New Roman" w:cs="Times New Roman"/>
          <w:sz w:val="28"/>
          <w:szCs w:val="28"/>
        </w:rPr>
        <w:t>employees dependent on the continuity of period of employment</w:t>
      </w:r>
      <w:r w:rsidR="00FF1ADD">
        <w:rPr>
          <w:rFonts w:ascii="Times New Roman" w:hAnsi="Times New Roman" w:cs="Times New Roman"/>
          <w:sz w:val="28"/>
          <w:szCs w:val="28"/>
        </w:rPr>
        <w:t>,</w:t>
      </w:r>
      <w:r w:rsidR="00223BBF">
        <w:rPr>
          <w:rStyle w:val="FootnoteReference"/>
          <w:rFonts w:ascii="Times New Roman" w:hAnsi="Times New Roman" w:cs="Times New Roman"/>
          <w:sz w:val="28"/>
          <w:szCs w:val="28"/>
        </w:rPr>
        <w:footnoteReference w:id="24"/>
      </w:r>
      <w:r w:rsidR="00C53033">
        <w:rPr>
          <w:rFonts w:ascii="Times New Roman" w:hAnsi="Times New Roman" w:cs="Times New Roman"/>
          <w:sz w:val="28"/>
          <w:szCs w:val="28"/>
        </w:rPr>
        <w:t xml:space="preserve"> </w:t>
      </w:r>
      <w:r w:rsidR="00C53033" w:rsidRPr="00C53033">
        <w:rPr>
          <w:rFonts w:ascii="Times New Roman" w:hAnsi="Times New Roman" w:cs="Times New Roman"/>
          <w:i/>
          <w:sz w:val="28"/>
          <w:szCs w:val="28"/>
        </w:rPr>
        <w:t>Iron</w:t>
      </w:r>
      <w:r w:rsidR="00FF1ADD" w:rsidRPr="00C53033">
        <w:rPr>
          <w:rFonts w:ascii="Times New Roman" w:hAnsi="Times New Roman" w:cs="Times New Roman"/>
          <w:i/>
          <w:sz w:val="28"/>
          <w:szCs w:val="28"/>
        </w:rPr>
        <w:t xml:space="preserve"> and Steel Workers Union of Nigeria v Management of Oshogbo Steel Rolling Mills.</w:t>
      </w:r>
      <w:r w:rsidR="00FF1ADD" w:rsidRPr="00C53033">
        <w:rPr>
          <w:rStyle w:val="FootnoteReference"/>
          <w:rFonts w:ascii="Times New Roman" w:hAnsi="Times New Roman" w:cs="Times New Roman"/>
          <w:i/>
          <w:sz w:val="28"/>
          <w:szCs w:val="28"/>
        </w:rPr>
        <w:footnoteReference w:id="25"/>
      </w:r>
    </w:p>
    <w:p w14:paraId="49BCBCFF" w14:textId="77777777" w:rsidR="008F1294" w:rsidRDefault="008F1294" w:rsidP="000939F5">
      <w:pPr>
        <w:spacing w:after="0" w:line="360" w:lineRule="auto"/>
        <w:jc w:val="both"/>
        <w:rPr>
          <w:rFonts w:ascii="Times New Roman" w:hAnsi="Times New Roman" w:cs="Times New Roman"/>
          <w:sz w:val="28"/>
          <w:szCs w:val="28"/>
        </w:rPr>
      </w:pPr>
    </w:p>
    <w:p w14:paraId="68AB55E1" w14:textId="35D5D2F0" w:rsidR="008F1294" w:rsidRDefault="008F1294"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Under the provisions of section 18 (1) of the TDA, an employer must not declare or take part in a lock out, and an employee must not take part in a strike in connection with any trade dispute where the procedure specified in section 4 or 6 of the Act has not been complied with; or a conciliator has been appointed for the purpose of effecting a settlement; or the dispute has referred for settlement to the Industrial Arbitration Panel or an award has become binding; or the dispute has been referred to the NICN; or the NICN has issued an award on reference. It is a criminal offence for anyone to take part in a lockout, or in a strike action</w:t>
      </w:r>
      <w:r w:rsidR="0077480A">
        <w:rPr>
          <w:rFonts w:ascii="Times New Roman" w:hAnsi="Times New Roman" w:cs="Times New Roman"/>
          <w:sz w:val="28"/>
          <w:szCs w:val="28"/>
        </w:rPr>
        <w:t xml:space="preserve"> in connection with a trade dispute without first exhausting the procedures.</w:t>
      </w:r>
      <w:r w:rsidR="0077480A">
        <w:rPr>
          <w:rStyle w:val="FootnoteReference"/>
          <w:rFonts w:ascii="Times New Roman" w:hAnsi="Times New Roman" w:cs="Times New Roman"/>
          <w:sz w:val="28"/>
          <w:szCs w:val="28"/>
        </w:rPr>
        <w:footnoteReference w:id="26"/>
      </w:r>
      <w:r w:rsidR="00C53033">
        <w:rPr>
          <w:rFonts w:ascii="Times New Roman" w:hAnsi="Times New Roman" w:cs="Times New Roman"/>
          <w:sz w:val="28"/>
          <w:szCs w:val="28"/>
        </w:rPr>
        <w:t xml:space="preserve"> The NICN has in the past issued injunctive orders restraining workers from going on strike</w:t>
      </w:r>
      <w:r w:rsidR="00011E5E">
        <w:rPr>
          <w:rFonts w:ascii="Times New Roman" w:hAnsi="Times New Roman" w:cs="Times New Roman"/>
          <w:sz w:val="28"/>
          <w:szCs w:val="28"/>
        </w:rPr>
        <w:t xml:space="preserve">. One of the recent cases is </w:t>
      </w:r>
      <w:r w:rsidR="00011E5E" w:rsidRPr="00011E5E">
        <w:rPr>
          <w:rFonts w:ascii="Times New Roman" w:hAnsi="Times New Roman" w:cs="Times New Roman"/>
          <w:i/>
          <w:sz w:val="28"/>
          <w:szCs w:val="28"/>
        </w:rPr>
        <w:t xml:space="preserve">Federal Government of Nigeria v Nigeria </w:t>
      </w:r>
      <w:proofErr w:type="spellStart"/>
      <w:r w:rsidR="00011E5E" w:rsidRPr="00011E5E">
        <w:rPr>
          <w:rFonts w:ascii="Times New Roman" w:hAnsi="Times New Roman" w:cs="Times New Roman"/>
          <w:i/>
          <w:sz w:val="28"/>
          <w:szCs w:val="28"/>
        </w:rPr>
        <w:t>Labour</w:t>
      </w:r>
      <w:proofErr w:type="spellEnd"/>
      <w:r w:rsidR="00011E5E" w:rsidRPr="00011E5E">
        <w:rPr>
          <w:rFonts w:ascii="Times New Roman" w:hAnsi="Times New Roman" w:cs="Times New Roman"/>
          <w:i/>
          <w:sz w:val="28"/>
          <w:szCs w:val="28"/>
        </w:rPr>
        <w:t xml:space="preserve"> Congress</w:t>
      </w:r>
      <w:r w:rsidR="00011E5E">
        <w:rPr>
          <w:rStyle w:val="FootnoteReference"/>
          <w:rFonts w:ascii="Times New Roman" w:hAnsi="Times New Roman" w:cs="Times New Roman"/>
          <w:i/>
          <w:sz w:val="28"/>
          <w:szCs w:val="28"/>
        </w:rPr>
        <w:footnoteReference w:id="27"/>
      </w:r>
      <w:r w:rsidR="00011E5E">
        <w:rPr>
          <w:rFonts w:ascii="Times New Roman" w:hAnsi="Times New Roman" w:cs="Times New Roman"/>
          <w:sz w:val="28"/>
          <w:szCs w:val="28"/>
        </w:rPr>
        <w:t>on the issue of increase in fuel pump price. The Court has also affirmed</w:t>
      </w:r>
      <w:r w:rsidR="00C53033">
        <w:rPr>
          <w:rFonts w:ascii="Times New Roman" w:hAnsi="Times New Roman" w:cs="Times New Roman"/>
          <w:sz w:val="28"/>
          <w:szCs w:val="28"/>
        </w:rPr>
        <w:t xml:space="preserve"> the right of workers to go on strike as in the case of </w:t>
      </w:r>
      <w:r w:rsidR="00C53033">
        <w:rPr>
          <w:rFonts w:ascii="Times New Roman" w:hAnsi="Times New Roman" w:cs="Times New Roman"/>
          <w:i/>
          <w:sz w:val="28"/>
          <w:szCs w:val="28"/>
        </w:rPr>
        <w:t xml:space="preserve">Enugu Electricity Distribution Plc v National Union of </w:t>
      </w:r>
      <w:r w:rsidR="00C53033">
        <w:rPr>
          <w:rFonts w:ascii="Times New Roman" w:hAnsi="Times New Roman" w:cs="Times New Roman"/>
          <w:i/>
          <w:sz w:val="28"/>
          <w:szCs w:val="28"/>
        </w:rPr>
        <w:lastRenderedPageBreak/>
        <w:t>Electricity Employees &amp; Senior Staff Association of Electricity and Allied Companies</w:t>
      </w:r>
      <w:r w:rsidR="00011E5E">
        <w:rPr>
          <w:rFonts w:ascii="Times New Roman" w:hAnsi="Times New Roman" w:cs="Times New Roman"/>
          <w:i/>
          <w:sz w:val="28"/>
          <w:szCs w:val="28"/>
        </w:rPr>
        <w:t>.</w:t>
      </w:r>
      <w:r w:rsidR="00C53033">
        <w:rPr>
          <w:rStyle w:val="FootnoteReference"/>
          <w:rFonts w:ascii="Times New Roman" w:hAnsi="Times New Roman" w:cs="Times New Roman"/>
          <w:i/>
          <w:sz w:val="28"/>
          <w:szCs w:val="28"/>
        </w:rPr>
        <w:footnoteReference w:id="28"/>
      </w:r>
      <w:r w:rsidR="00C53033">
        <w:rPr>
          <w:rFonts w:ascii="Times New Roman" w:hAnsi="Times New Roman" w:cs="Times New Roman"/>
          <w:sz w:val="28"/>
          <w:szCs w:val="28"/>
        </w:rPr>
        <w:t xml:space="preserve"> </w:t>
      </w:r>
    </w:p>
    <w:p w14:paraId="324F8C4B" w14:textId="77777777" w:rsidR="00DD6263" w:rsidRDefault="00DD6263" w:rsidP="000939F5">
      <w:pPr>
        <w:spacing w:after="0" w:line="360" w:lineRule="auto"/>
        <w:jc w:val="both"/>
        <w:rPr>
          <w:rFonts w:ascii="Times New Roman" w:hAnsi="Times New Roman" w:cs="Times New Roman"/>
          <w:sz w:val="28"/>
          <w:szCs w:val="28"/>
        </w:rPr>
      </w:pPr>
    </w:p>
    <w:p w14:paraId="14E9D4B6" w14:textId="7758706E" w:rsidR="00D4705B" w:rsidRDefault="00BE10E4" w:rsidP="000939F5">
      <w:pPr>
        <w:spacing w:after="0" w:line="360" w:lineRule="auto"/>
        <w:jc w:val="both"/>
        <w:rPr>
          <w:rFonts w:ascii="Times New Roman" w:hAnsi="Times New Roman" w:cs="Times New Roman"/>
          <w:b/>
          <w:sz w:val="26"/>
          <w:szCs w:val="26"/>
          <w:u w:val="single"/>
        </w:rPr>
      </w:pPr>
      <w:r>
        <w:rPr>
          <w:rFonts w:ascii="Times New Roman" w:hAnsi="Times New Roman" w:cs="Times New Roman"/>
          <w:sz w:val="28"/>
          <w:szCs w:val="28"/>
        </w:rPr>
        <w:t xml:space="preserve"> </w:t>
      </w:r>
      <w:r w:rsidR="00D4705B" w:rsidRPr="0044283C">
        <w:rPr>
          <w:rFonts w:ascii="Times New Roman" w:hAnsi="Times New Roman" w:cs="Times New Roman"/>
          <w:b/>
          <w:sz w:val="26"/>
          <w:szCs w:val="26"/>
          <w:u w:val="single"/>
        </w:rPr>
        <w:t>LEGAL FRAMEWORK FOR RESOLUTION OF TRADE DISPUTES</w:t>
      </w:r>
    </w:p>
    <w:p w14:paraId="79607B21" w14:textId="77777777" w:rsidR="00513C03" w:rsidRDefault="00513C03" w:rsidP="000939F5">
      <w:pPr>
        <w:spacing w:after="0" w:line="360" w:lineRule="auto"/>
        <w:jc w:val="both"/>
        <w:rPr>
          <w:rFonts w:ascii="Times New Roman" w:hAnsi="Times New Roman" w:cs="Times New Roman"/>
          <w:b/>
          <w:sz w:val="26"/>
          <w:szCs w:val="26"/>
          <w:u w:val="single"/>
        </w:rPr>
      </w:pPr>
    </w:p>
    <w:p w14:paraId="0C31E218" w14:textId="3A3CCFD1" w:rsidR="00A90076" w:rsidRDefault="0077480A" w:rsidP="000939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00513C03" w:rsidRPr="00513C03">
        <w:rPr>
          <w:rFonts w:ascii="Times New Roman" w:hAnsi="Times New Roman" w:cs="Times New Roman"/>
          <w:sz w:val="28"/>
          <w:szCs w:val="28"/>
        </w:rPr>
        <w:t xml:space="preserve">] </w:t>
      </w:r>
      <w:r w:rsidR="00513C03">
        <w:rPr>
          <w:rFonts w:ascii="Times New Roman" w:hAnsi="Times New Roman" w:cs="Times New Roman"/>
          <w:sz w:val="28"/>
          <w:szCs w:val="28"/>
        </w:rPr>
        <w:t>The legal framework for the settlement of trade disputes is contained in the Trade Dispute Act (TDA)</w:t>
      </w:r>
      <w:r w:rsidR="00324C7B">
        <w:rPr>
          <w:rStyle w:val="FootnoteReference"/>
          <w:rFonts w:ascii="Times New Roman" w:hAnsi="Times New Roman" w:cs="Times New Roman"/>
          <w:sz w:val="28"/>
          <w:szCs w:val="28"/>
        </w:rPr>
        <w:footnoteReference w:id="29"/>
      </w:r>
      <w:r w:rsidR="00324C7B">
        <w:rPr>
          <w:rFonts w:ascii="Times New Roman" w:hAnsi="Times New Roman" w:cs="Times New Roman"/>
          <w:sz w:val="28"/>
          <w:szCs w:val="28"/>
        </w:rPr>
        <w:t xml:space="preserve"> and the</w:t>
      </w:r>
      <w:r w:rsidR="00513C03">
        <w:rPr>
          <w:rFonts w:ascii="Times New Roman" w:hAnsi="Times New Roman" w:cs="Times New Roman"/>
          <w:sz w:val="28"/>
          <w:szCs w:val="28"/>
        </w:rPr>
        <w:t xml:space="preserve"> Tra</w:t>
      </w:r>
      <w:r w:rsidR="00F25A38">
        <w:rPr>
          <w:rFonts w:ascii="Times New Roman" w:hAnsi="Times New Roman" w:cs="Times New Roman"/>
          <w:sz w:val="28"/>
          <w:szCs w:val="28"/>
        </w:rPr>
        <w:t xml:space="preserve">de Dispute (Essential Services) </w:t>
      </w:r>
      <w:r w:rsidR="00513C03">
        <w:rPr>
          <w:rFonts w:ascii="Times New Roman" w:hAnsi="Times New Roman" w:cs="Times New Roman"/>
          <w:sz w:val="28"/>
          <w:szCs w:val="28"/>
        </w:rPr>
        <w:t>Act</w:t>
      </w:r>
      <w:r w:rsidR="00324C7B">
        <w:rPr>
          <w:rFonts w:ascii="Times New Roman" w:hAnsi="Times New Roman" w:cs="Times New Roman"/>
          <w:sz w:val="28"/>
          <w:szCs w:val="28"/>
        </w:rPr>
        <w:t>.</w:t>
      </w:r>
      <w:r w:rsidR="00324C7B">
        <w:rPr>
          <w:rStyle w:val="FootnoteReference"/>
          <w:rFonts w:ascii="Times New Roman" w:hAnsi="Times New Roman" w:cs="Times New Roman"/>
          <w:sz w:val="28"/>
          <w:szCs w:val="28"/>
        </w:rPr>
        <w:footnoteReference w:id="30"/>
      </w:r>
      <w:r w:rsidR="00E8727C">
        <w:rPr>
          <w:rFonts w:ascii="Times New Roman" w:hAnsi="Times New Roman" w:cs="Times New Roman"/>
          <w:sz w:val="28"/>
          <w:szCs w:val="28"/>
        </w:rPr>
        <w:t xml:space="preserve"> </w:t>
      </w:r>
      <w:r w:rsidR="00D2428F">
        <w:rPr>
          <w:rFonts w:ascii="Times New Roman" w:hAnsi="Times New Roman" w:cs="Times New Roman"/>
          <w:sz w:val="28"/>
          <w:szCs w:val="28"/>
        </w:rPr>
        <w:t>The statutory framework is for the resolution of collective disputes</w:t>
      </w:r>
      <w:r w:rsidR="00D2428F">
        <w:rPr>
          <w:rStyle w:val="FootnoteReference"/>
          <w:rFonts w:ascii="Times New Roman" w:hAnsi="Times New Roman" w:cs="Times New Roman"/>
          <w:sz w:val="28"/>
          <w:szCs w:val="28"/>
        </w:rPr>
        <w:footnoteReference w:id="31"/>
      </w:r>
      <w:r w:rsidR="00287346">
        <w:rPr>
          <w:rFonts w:ascii="Times New Roman" w:hAnsi="Times New Roman" w:cs="Times New Roman"/>
          <w:sz w:val="28"/>
          <w:szCs w:val="28"/>
        </w:rPr>
        <w:t xml:space="preserve"> and not individual disputes. </w:t>
      </w:r>
      <w:r w:rsidR="00E8727C">
        <w:rPr>
          <w:rFonts w:ascii="Times New Roman" w:hAnsi="Times New Roman" w:cs="Times New Roman"/>
          <w:sz w:val="28"/>
          <w:szCs w:val="28"/>
        </w:rPr>
        <w:t>The TDA provides for the resolution of trade disp</w:t>
      </w:r>
      <w:r w:rsidR="00664D98">
        <w:rPr>
          <w:rFonts w:ascii="Times New Roman" w:hAnsi="Times New Roman" w:cs="Times New Roman"/>
          <w:sz w:val="28"/>
          <w:szCs w:val="28"/>
        </w:rPr>
        <w:t>utes in stages. The first stage</w:t>
      </w:r>
      <w:r w:rsidR="00E8727C">
        <w:rPr>
          <w:rFonts w:ascii="Times New Roman" w:hAnsi="Times New Roman" w:cs="Times New Roman"/>
          <w:sz w:val="28"/>
          <w:szCs w:val="28"/>
        </w:rPr>
        <w:t xml:space="preserve"> is the resolution of </w:t>
      </w:r>
      <w:r w:rsidR="00F25A38">
        <w:rPr>
          <w:rFonts w:ascii="Times New Roman" w:hAnsi="Times New Roman" w:cs="Times New Roman"/>
          <w:sz w:val="28"/>
          <w:szCs w:val="28"/>
        </w:rPr>
        <w:t>the dispute by the parties them</w:t>
      </w:r>
      <w:r w:rsidR="00E8727C">
        <w:rPr>
          <w:rFonts w:ascii="Times New Roman" w:hAnsi="Times New Roman" w:cs="Times New Roman"/>
          <w:sz w:val="28"/>
          <w:szCs w:val="28"/>
        </w:rPr>
        <w:t>selves by any agreed means of the set</w:t>
      </w:r>
      <w:r w:rsidR="00664D98">
        <w:rPr>
          <w:rFonts w:ascii="Times New Roman" w:hAnsi="Times New Roman" w:cs="Times New Roman"/>
          <w:sz w:val="28"/>
          <w:szCs w:val="28"/>
        </w:rPr>
        <w:t>tlement. Upon failure or if there is no such agreed means of settlement, the parties must within seven days meet together by themselves or their representatives under a mutually agreed mediator appointed by the parties with a view towards amicable settlement.</w:t>
      </w:r>
      <w:r w:rsidR="00664D98">
        <w:rPr>
          <w:rStyle w:val="FootnoteReference"/>
          <w:rFonts w:ascii="Times New Roman" w:hAnsi="Times New Roman" w:cs="Times New Roman"/>
          <w:sz w:val="28"/>
          <w:szCs w:val="28"/>
        </w:rPr>
        <w:footnoteReference w:id="32"/>
      </w:r>
      <w:r w:rsidR="006675B6">
        <w:rPr>
          <w:rFonts w:ascii="Times New Roman" w:hAnsi="Times New Roman" w:cs="Times New Roman"/>
          <w:sz w:val="28"/>
          <w:szCs w:val="28"/>
        </w:rPr>
        <w:t xml:space="preserve"> If within seven days on which the mediator is appointed the dispute is not settled,</w:t>
      </w:r>
      <w:r w:rsidR="004C0781">
        <w:rPr>
          <w:rFonts w:ascii="Times New Roman" w:hAnsi="Times New Roman" w:cs="Times New Roman"/>
          <w:sz w:val="28"/>
          <w:szCs w:val="28"/>
        </w:rPr>
        <w:t xml:space="preserve"> it is to be reported to</w:t>
      </w:r>
      <w:r w:rsidR="00223BBF">
        <w:rPr>
          <w:rFonts w:ascii="Times New Roman" w:hAnsi="Times New Roman" w:cs="Times New Roman"/>
          <w:sz w:val="28"/>
          <w:szCs w:val="28"/>
        </w:rPr>
        <w:t xml:space="preserve"> the Minister within three days</w:t>
      </w:r>
      <w:r w:rsidR="004C0781">
        <w:rPr>
          <w:rFonts w:ascii="Times New Roman" w:hAnsi="Times New Roman" w:cs="Times New Roman"/>
          <w:sz w:val="28"/>
          <w:szCs w:val="28"/>
        </w:rPr>
        <w:t xml:space="preserve"> of the end of the seven days.</w:t>
      </w:r>
      <w:r w:rsidR="004C0781">
        <w:rPr>
          <w:rStyle w:val="FootnoteReference"/>
          <w:rFonts w:ascii="Times New Roman" w:hAnsi="Times New Roman" w:cs="Times New Roman"/>
          <w:sz w:val="28"/>
          <w:szCs w:val="28"/>
        </w:rPr>
        <w:footnoteReference w:id="33"/>
      </w:r>
      <w:r w:rsidR="004C0781">
        <w:rPr>
          <w:rFonts w:ascii="Times New Roman" w:hAnsi="Times New Roman" w:cs="Times New Roman"/>
          <w:sz w:val="28"/>
          <w:szCs w:val="28"/>
        </w:rPr>
        <w:t xml:space="preserve"> </w:t>
      </w:r>
      <w:r w:rsidR="00CF5EC9">
        <w:rPr>
          <w:rFonts w:ascii="Times New Roman" w:hAnsi="Times New Roman" w:cs="Times New Roman"/>
          <w:sz w:val="28"/>
          <w:szCs w:val="28"/>
        </w:rPr>
        <w:t>If the Minister is not satisfied that the requirements for internal settlement have been complied with, he must issue a notice in writing to the parties</w:t>
      </w:r>
      <w:r w:rsidR="00A90076">
        <w:rPr>
          <w:rFonts w:ascii="Times New Roman" w:hAnsi="Times New Roman" w:cs="Times New Roman"/>
          <w:sz w:val="28"/>
          <w:szCs w:val="28"/>
        </w:rPr>
        <w:t xml:space="preserve"> specifying the steps that must be taken to satisfy the requirements. </w:t>
      </w:r>
    </w:p>
    <w:p w14:paraId="6FDF61F3" w14:textId="77777777" w:rsidR="00565E35" w:rsidRPr="00F127CA" w:rsidRDefault="00565E35" w:rsidP="000939F5">
      <w:pPr>
        <w:spacing w:after="0" w:line="360" w:lineRule="auto"/>
        <w:jc w:val="both"/>
        <w:rPr>
          <w:rFonts w:ascii="Times New Roman" w:hAnsi="Times New Roman" w:cs="Times New Roman"/>
          <w:sz w:val="26"/>
          <w:szCs w:val="26"/>
        </w:rPr>
      </w:pPr>
    </w:p>
    <w:p w14:paraId="21753285" w14:textId="5EC8591B" w:rsidR="00A90076" w:rsidRDefault="0077480A" w:rsidP="00A90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w:t>
      </w:r>
      <w:r w:rsidR="00A90076">
        <w:rPr>
          <w:rFonts w:ascii="Times New Roman" w:hAnsi="Times New Roman" w:cs="Times New Roman"/>
          <w:sz w:val="28"/>
          <w:szCs w:val="28"/>
        </w:rPr>
        <w:t>] If the Minister is satisfied after the expiration of fourteen days that either party is refusing to take those steps, he may proceed to exercise his powers under sections 8, 9, 17, or 33 of the TDA as he deems appropriate. These include appointment of a conciliator, reference of the dispute to the Industrial Arbitration Panel</w:t>
      </w:r>
      <w:r w:rsidR="00D2428F">
        <w:rPr>
          <w:rFonts w:ascii="Times New Roman" w:hAnsi="Times New Roman" w:cs="Times New Roman"/>
          <w:sz w:val="28"/>
          <w:szCs w:val="28"/>
        </w:rPr>
        <w:t xml:space="preserve"> (IAP)</w:t>
      </w:r>
      <w:r w:rsidR="00A90076">
        <w:rPr>
          <w:rFonts w:ascii="Times New Roman" w:hAnsi="Times New Roman" w:cs="Times New Roman"/>
          <w:sz w:val="28"/>
          <w:szCs w:val="28"/>
        </w:rPr>
        <w:t xml:space="preserve"> or a board of inquiry.</w:t>
      </w:r>
      <w:r w:rsidR="00D2428F">
        <w:rPr>
          <w:rFonts w:ascii="Times New Roman" w:hAnsi="Times New Roman" w:cs="Times New Roman"/>
          <w:sz w:val="28"/>
          <w:szCs w:val="28"/>
        </w:rPr>
        <w:t xml:space="preserve"> Where the </w:t>
      </w:r>
      <w:r w:rsidR="00D2428F">
        <w:rPr>
          <w:rFonts w:ascii="Times New Roman" w:hAnsi="Times New Roman" w:cs="Times New Roman"/>
          <w:sz w:val="28"/>
          <w:szCs w:val="28"/>
        </w:rPr>
        <w:lastRenderedPageBreak/>
        <w:t>Minister apprehends a trade dispute,</w:t>
      </w:r>
      <w:r w:rsidR="00D2428F">
        <w:rPr>
          <w:rStyle w:val="FootnoteReference"/>
          <w:rFonts w:ascii="Times New Roman" w:hAnsi="Times New Roman" w:cs="Times New Roman"/>
          <w:sz w:val="28"/>
          <w:szCs w:val="28"/>
        </w:rPr>
        <w:footnoteReference w:id="34"/>
      </w:r>
      <w:r w:rsidR="00D2428F">
        <w:rPr>
          <w:rFonts w:ascii="Times New Roman" w:hAnsi="Times New Roman" w:cs="Times New Roman"/>
          <w:sz w:val="28"/>
          <w:szCs w:val="28"/>
        </w:rPr>
        <w:t xml:space="preserve"> he may inform the parties or their representatives of the steps he proposes to take towards its resolution. </w:t>
      </w:r>
      <w:r w:rsidR="00CF5EC9">
        <w:rPr>
          <w:rFonts w:ascii="Times New Roman" w:hAnsi="Times New Roman" w:cs="Times New Roman"/>
          <w:sz w:val="28"/>
          <w:szCs w:val="28"/>
        </w:rPr>
        <w:t xml:space="preserve">If the trade dispute of which the Minister has received a report is one in which workers employed in essential services are a party, or reference of the dispute </w:t>
      </w:r>
      <w:r w:rsidR="00D2428F">
        <w:rPr>
          <w:rFonts w:ascii="Times New Roman" w:hAnsi="Times New Roman" w:cs="Times New Roman"/>
          <w:sz w:val="28"/>
          <w:szCs w:val="28"/>
        </w:rPr>
        <w:t xml:space="preserve">to the IAP </w:t>
      </w:r>
      <w:r w:rsidR="00CF5EC9">
        <w:rPr>
          <w:rFonts w:ascii="Times New Roman" w:hAnsi="Times New Roman" w:cs="Times New Roman"/>
          <w:sz w:val="28"/>
          <w:szCs w:val="28"/>
        </w:rPr>
        <w:t>will not be appropriate, he shall within seven days of the receipt of the report refer the dispute directly to the NICN</w:t>
      </w:r>
      <w:r w:rsidR="00A90076">
        <w:rPr>
          <w:rFonts w:ascii="Times New Roman" w:hAnsi="Times New Roman" w:cs="Times New Roman"/>
          <w:sz w:val="28"/>
          <w:szCs w:val="28"/>
        </w:rPr>
        <w:t>.</w:t>
      </w:r>
      <w:r w:rsidR="00CF5EC9">
        <w:rPr>
          <w:rStyle w:val="FootnoteReference"/>
          <w:rFonts w:ascii="Times New Roman" w:hAnsi="Times New Roman" w:cs="Times New Roman"/>
          <w:sz w:val="28"/>
          <w:szCs w:val="28"/>
        </w:rPr>
        <w:footnoteReference w:id="35"/>
      </w:r>
      <w:r w:rsidR="00A90076" w:rsidRPr="00A90076">
        <w:rPr>
          <w:rFonts w:ascii="Times New Roman" w:hAnsi="Times New Roman" w:cs="Times New Roman"/>
          <w:sz w:val="28"/>
          <w:szCs w:val="28"/>
        </w:rPr>
        <w:t xml:space="preserve"> </w:t>
      </w:r>
    </w:p>
    <w:p w14:paraId="29EFAA22" w14:textId="77777777" w:rsidR="00D2428F" w:rsidRDefault="00D2428F" w:rsidP="00A90076">
      <w:pPr>
        <w:spacing w:after="0" w:line="360" w:lineRule="auto"/>
        <w:jc w:val="both"/>
        <w:rPr>
          <w:rFonts w:ascii="Times New Roman" w:hAnsi="Times New Roman" w:cs="Times New Roman"/>
          <w:sz w:val="28"/>
          <w:szCs w:val="28"/>
        </w:rPr>
      </w:pPr>
    </w:p>
    <w:p w14:paraId="6EAC946E" w14:textId="2EA5BFD7" w:rsidR="00565E35" w:rsidRDefault="0077480A" w:rsidP="00764639">
      <w:pPr>
        <w:spacing w:after="0" w:line="360" w:lineRule="auto"/>
        <w:jc w:val="both"/>
        <w:rPr>
          <w:rFonts w:ascii="Times New Roman" w:hAnsi="Times New Roman"/>
          <w:sz w:val="28"/>
          <w:szCs w:val="28"/>
        </w:rPr>
      </w:pPr>
      <w:r>
        <w:rPr>
          <w:rFonts w:ascii="Times New Roman" w:hAnsi="Times New Roman" w:cs="Times New Roman"/>
          <w:sz w:val="28"/>
          <w:szCs w:val="28"/>
        </w:rPr>
        <w:t>[19</w:t>
      </w:r>
      <w:r w:rsidR="00D2428F">
        <w:rPr>
          <w:rFonts w:ascii="Times New Roman" w:hAnsi="Times New Roman" w:cs="Times New Roman"/>
          <w:sz w:val="28"/>
          <w:szCs w:val="28"/>
        </w:rPr>
        <w:t xml:space="preserve">] </w:t>
      </w:r>
      <w:r w:rsidR="00287346">
        <w:rPr>
          <w:rFonts w:ascii="Times New Roman" w:hAnsi="Times New Roman" w:cs="Times New Roman"/>
          <w:sz w:val="28"/>
          <w:szCs w:val="28"/>
        </w:rPr>
        <w:t>An award by the IAP is binding on the parties. However, where an award is objected to, notice of the objection to the award is to be given to the Minister within seven days of the publication of the award;</w:t>
      </w:r>
      <w:r w:rsidR="00287346">
        <w:rPr>
          <w:rStyle w:val="FootnoteReference"/>
          <w:rFonts w:ascii="Times New Roman" w:hAnsi="Times New Roman" w:cs="Times New Roman"/>
          <w:sz w:val="28"/>
          <w:szCs w:val="28"/>
        </w:rPr>
        <w:footnoteReference w:id="36"/>
      </w:r>
      <w:r w:rsidR="00287346">
        <w:rPr>
          <w:rFonts w:ascii="Times New Roman" w:hAnsi="Times New Roman" w:cs="Times New Roman"/>
          <w:sz w:val="28"/>
          <w:szCs w:val="28"/>
        </w:rPr>
        <w:t xml:space="preserve"> and the Minister shall refer the dispute to the NICN</w:t>
      </w:r>
      <w:r w:rsidR="005168D2">
        <w:rPr>
          <w:rFonts w:ascii="Times New Roman" w:hAnsi="Times New Roman" w:cs="Times New Roman"/>
          <w:sz w:val="28"/>
          <w:szCs w:val="28"/>
        </w:rPr>
        <w:t>.</w:t>
      </w:r>
      <w:r w:rsidR="00287346">
        <w:rPr>
          <w:rStyle w:val="FootnoteReference"/>
          <w:rFonts w:ascii="Times New Roman" w:hAnsi="Times New Roman" w:cs="Times New Roman"/>
          <w:sz w:val="28"/>
          <w:szCs w:val="28"/>
        </w:rPr>
        <w:footnoteReference w:id="37"/>
      </w:r>
      <w:r w:rsidR="005168D2">
        <w:rPr>
          <w:rFonts w:ascii="Times New Roman" w:hAnsi="Times New Roman" w:cs="Times New Roman"/>
          <w:sz w:val="28"/>
          <w:szCs w:val="28"/>
        </w:rPr>
        <w:t>In other words, the objector cannot approach the NICN directly to file an app</w:t>
      </w:r>
      <w:r w:rsidR="0007307F">
        <w:rPr>
          <w:rFonts w:ascii="Times New Roman" w:hAnsi="Times New Roman" w:cs="Times New Roman"/>
          <w:sz w:val="28"/>
          <w:szCs w:val="28"/>
        </w:rPr>
        <w:t>eal against the award of the IAP.</w:t>
      </w:r>
      <w:r w:rsidR="00AE5088">
        <w:rPr>
          <w:rStyle w:val="FootnoteReference"/>
          <w:rFonts w:ascii="Times New Roman" w:hAnsi="Times New Roman" w:cs="Times New Roman"/>
          <w:sz w:val="28"/>
          <w:szCs w:val="28"/>
        </w:rPr>
        <w:footnoteReference w:id="38"/>
      </w:r>
      <w:r w:rsidR="0007307F">
        <w:rPr>
          <w:rFonts w:ascii="Times New Roman" w:hAnsi="Times New Roman" w:cs="Times New Roman"/>
          <w:sz w:val="28"/>
          <w:szCs w:val="28"/>
        </w:rPr>
        <w:t xml:space="preserve"> It is</w:t>
      </w:r>
      <w:r w:rsidR="00565E35">
        <w:rPr>
          <w:rFonts w:ascii="Times New Roman" w:hAnsi="Times New Roman" w:cs="Times New Roman"/>
          <w:sz w:val="28"/>
          <w:szCs w:val="28"/>
        </w:rPr>
        <w:t xml:space="preserve"> the objection that initiates the</w:t>
      </w:r>
      <w:r w:rsidR="0007307F">
        <w:rPr>
          <w:rFonts w:ascii="Times New Roman" w:hAnsi="Times New Roman" w:cs="Times New Roman"/>
          <w:sz w:val="28"/>
          <w:szCs w:val="28"/>
        </w:rPr>
        <w:t xml:space="preserve"> referral from the Hon Minister</w:t>
      </w:r>
      <w:r w:rsidR="00565E35">
        <w:rPr>
          <w:rFonts w:ascii="Times New Roman" w:hAnsi="Times New Roman" w:cs="Times New Roman"/>
          <w:sz w:val="28"/>
          <w:szCs w:val="28"/>
        </w:rPr>
        <w:t xml:space="preserve">. </w:t>
      </w:r>
      <w:r w:rsidR="00223BBF">
        <w:rPr>
          <w:rFonts w:ascii="Times New Roman" w:hAnsi="Times New Roman" w:cs="Times New Roman"/>
          <w:sz w:val="28"/>
          <w:szCs w:val="28"/>
        </w:rPr>
        <w:t xml:space="preserve">All collective disputes must go through the </w:t>
      </w:r>
      <w:r w:rsidR="0018089F">
        <w:rPr>
          <w:rFonts w:ascii="Times New Roman" w:hAnsi="Times New Roman" w:cs="Times New Roman"/>
          <w:sz w:val="28"/>
          <w:szCs w:val="28"/>
        </w:rPr>
        <w:t xml:space="preserve">statutory </w:t>
      </w:r>
      <w:r w:rsidR="00223BBF">
        <w:rPr>
          <w:rFonts w:ascii="Times New Roman" w:hAnsi="Times New Roman" w:cs="Times New Roman"/>
          <w:sz w:val="28"/>
          <w:szCs w:val="28"/>
        </w:rPr>
        <w:t>dispute resolution mechanism of mediation, conciliation and arbitration before a referral to the NICN in its appellate jurisdiction.</w:t>
      </w:r>
      <w:r w:rsidR="00764639">
        <w:rPr>
          <w:rFonts w:ascii="Times New Roman" w:hAnsi="Times New Roman" w:cs="Times New Roman"/>
          <w:sz w:val="28"/>
          <w:szCs w:val="28"/>
        </w:rPr>
        <w:t xml:space="preserve"> </w:t>
      </w:r>
      <w:r w:rsidR="00764639">
        <w:rPr>
          <w:rFonts w:ascii="Times New Roman" w:hAnsi="Times New Roman"/>
          <w:sz w:val="28"/>
          <w:szCs w:val="28"/>
        </w:rPr>
        <w:t xml:space="preserve">The NICN has held severally that it lacks original jurisdiction over trade disputes: </w:t>
      </w:r>
      <w:r w:rsidR="00764639" w:rsidRPr="00764639">
        <w:rPr>
          <w:rFonts w:ascii="Times New Roman" w:hAnsi="Times New Roman"/>
          <w:bCs/>
          <w:i/>
          <w:sz w:val="28"/>
          <w:szCs w:val="28"/>
        </w:rPr>
        <w:t xml:space="preserve">National Union Of Hotel </w:t>
      </w:r>
      <w:r w:rsidR="00764639">
        <w:rPr>
          <w:rFonts w:ascii="Times New Roman" w:hAnsi="Times New Roman"/>
          <w:bCs/>
          <w:i/>
          <w:sz w:val="28"/>
          <w:szCs w:val="28"/>
        </w:rPr>
        <w:t>And Personal Services Workers v</w:t>
      </w:r>
      <w:r w:rsidR="00764639" w:rsidRPr="00764639">
        <w:rPr>
          <w:rFonts w:ascii="Times New Roman" w:hAnsi="Times New Roman"/>
          <w:bCs/>
          <w:i/>
          <w:sz w:val="28"/>
          <w:szCs w:val="28"/>
        </w:rPr>
        <w:t>. National Union Of Food, Beverag</w:t>
      </w:r>
      <w:r w:rsidR="00C108F5">
        <w:rPr>
          <w:rFonts w:ascii="Times New Roman" w:hAnsi="Times New Roman"/>
          <w:bCs/>
          <w:i/>
          <w:sz w:val="28"/>
          <w:szCs w:val="28"/>
        </w:rPr>
        <w:t>e And Tobacco Employees,</w:t>
      </w:r>
      <w:r w:rsidR="00C108F5">
        <w:rPr>
          <w:rStyle w:val="FootnoteReference"/>
          <w:rFonts w:ascii="Times New Roman" w:hAnsi="Times New Roman"/>
          <w:bCs/>
          <w:i/>
          <w:sz w:val="28"/>
          <w:szCs w:val="28"/>
        </w:rPr>
        <w:footnoteReference w:id="39"/>
      </w:r>
      <w:r w:rsidR="00C108F5">
        <w:rPr>
          <w:rFonts w:ascii="Times New Roman" w:hAnsi="Times New Roman"/>
          <w:bCs/>
          <w:i/>
          <w:sz w:val="28"/>
          <w:szCs w:val="28"/>
        </w:rPr>
        <w:t xml:space="preserve"> </w:t>
      </w:r>
      <w:r w:rsidR="00764639" w:rsidRPr="00764639">
        <w:rPr>
          <w:rFonts w:ascii="Times New Roman" w:hAnsi="Times New Roman"/>
          <w:bCs/>
          <w:i/>
          <w:sz w:val="28"/>
          <w:szCs w:val="28"/>
        </w:rPr>
        <w:t>Non-Academic Staff Union Of Educational A</w:t>
      </w:r>
      <w:r w:rsidR="00C108F5">
        <w:rPr>
          <w:rFonts w:ascii="Times New Roman" w:hAnsi="Times New Roman"/>
          <w:bCs/>
          <w:i/>
          <w:sz w:val="28"/>
          <w:szCs w:val="28"/>
        </w:rPr>
        <w:t>nd Associated Institutions (NASU) v</w:t>
      </w:r>
      <w:r w:rsidR="00764639" w:rsidRPr="00764639">
        <w:rPr>
          <w:rFonts w:ascii="Times New Roman" w:hAnsi="Times New Roman"/>
          <w:bCs/>
          <w:i/>
          <w:sz w:val="28"/>
          <w:szCs w:val="28"/>
        </w:rPr>
        <w:t xml:space="preserve"> </w:t>
      </w:r>
      <w:proofErr w:type="spellStart"/>
      <w:r w:rsidR="00764639" w:rsidRPr="00764639">
        <w:rPr>
          <w:rFonts w:ascii="Times New Roman" w:hAnsi="Times New Roman"/>
          <w:bCs/>
          <w:i/>
          <w:sz w:val="28"/>
          <w:szCs w:val="28"/>
        </w:rPr>
        <w:t>Aniah</w:t>
      </w:r>
      <w:proofErr w:type="spellEnd"/>
      <w:r w:rsidR="00764639" w:rsidRPr="00764639">
        <w:rPr>
          <w:rFonts w:ascii="Times New Roman" w:hAnsi="Times New Roman"/>
          <w:bCs/>
          <w:i/>
          <w:sz w:val="28"/>
          <w:szCs w:val="28"/>
        </w:rPr>
        <w:t xml:space="preserve"> Jaco</w:t>
      </w:r>
      <w:r w:rsidR="00C108F5">
        <w:rPr>
          <w:rFonts w:ascii="Times New Roman" w:hAnsi="Times New Roman"/>
          <w:bCs/>
          <w:i/>
          <w:sz w:val="28"/>
          <w:szCs w:val="28"/>
        </w:rPr>
        <w:t xml:space="preserve">b &amp; </w:t>
      </w:r>
      <w:proofErr w:type="spellStart"/>
      <w:r w:rsidR="00C108F5">
        <w:rPr>
          <w:rFonts w:ascii="Times New Roman" w:hAnsi="Times New Roman"/>
          <w:bCs/>
          <w:i/>
          <w:sz w:val="28"/>
          <w:szCs w:val="28"/>
        </w:rPr>
        <w:t>Ors</w:t>
      </w:r>
      <w:proofErr w:type="spellEnd"/>
      <w:r w:rsidR="00565E35">
        <w:rPr>
          <w:rStyle w:val="FootnoteReference"/>
          <w:rFonts w:ascii="Times New Roman" w:hAnsi="Times New Roman"/>
          <w:bCs/>
          <w:i/>
          <w:sz w:val="28"/>
          <w:szCs w:val="28"/>
        </w:rPr>
        <w:footnoteReference w:id="40"/>
      </w:r>
      <w:r w:rsidR="00764639" w:rsidRPr="00764639">
        <w:rPr>
          <w:rFonts w:ascii="Times New Roman" w:hAnsi="Times New Roman"/>
          <w:bCs/>
          <w:i/>
          <w:sz w:val="28"/>
          <w:szCs w:val="28"/>
        </w:rPr>
        <w:t xml:space="preserve"> </w:t>
      </w:r>
      <w:r w:rsidR="00C108F5">
        <w:rPr>
          <w:rFonts w:ascii="Times New Roman" w:hAnsi="Times New Roman"/>
          <w:sz w:val="28"/>
          <w:szCs w:val="28"/>
        </w:rPr>
        <w:t>the Court Of Appeal h</w:t>
      </w:r>
      <w:r w:rsidR="00764639" w:rsidRPr="00C108F5">
        <w:rPr>
          <w:rFonts w:ascii="Times New Roman" w:hAnsi="Times New Roman"/>
          <w:sz w:val="28"/>
          <w:szCs w:val="28"/>
        </w:rPr>
        <w:t xml:space="preserve">eld, </w:t>
      </w:r>
      <w:r w:rsidR="00C108F5">
        <w:rPr>
          <w:rFonts w:ascii="Times New Roman" w:hAnsi="Times New Roman"/>
          <w:bCs/>
          <w:sz w:val="28"/>
          <w:szCs w:val="28"/>
        </w:rPr>
        <w:t xml:space="preserve">per </w:t>
      </w:r>
      <w:proofErr w:type="spellStart"/>
      <w:r w:rsidR="00C108F5">
        <w:rPr>
          <w:rFonts w:ascii="Times New Roman" w:hAnsi="Times New Roman"/>
          <w:bCs/>
          <w:sz w:val="28"/>
          <w:szCs w:val="28"/>
        </w:rPr>
        <w:t>Otisi</w:t>
      </w:r>
      <w:proofErr w:type="spellEnd"/>
      <w:r w:rsidR="00C108F5">
        <w:rPr>
          <w:rFonts w:ascii="Times New Roman" w:hAnsi="Times New Roman"/>
          <w:bCs/>
          <w:sz w:val="28"/>
          <w:szCs w:val="28"/>
        </w:rPr>
        <w:t xml:space="preserve"> JCA</w:t>
      </w:r>
      <w:r w:rsidR="00C108F5">
        <w:rPr>
          <w:rFonts w:ascii="Times New Roman" w:hAnsi="Times New Roman"/>
          <w:sz w:val="28"/>
          <w:szCs w:val="28"/>
        </w:rPr>
        <w:t>:</w:t>
      </w:r>
      <w:r w:rsidR="00764639" w:rsidRPr="00C108F5">
        <w:rPr>
          <w:rFonts w:ascii="Times New Roman" w:hAnsi="Times New Roman"/>
          <w:sz w:val="28"/>
          <w:szCs w:val="28"/>
        </w:rPr>
        <w:t xml:space="preserve"> </w:t>
      </w:r>
    </w:p>
    <w:p w14:paraId="0D9AA596" w14:textId="70B59325" w:rsidR="00565E35" w:rsidRPr="00565E35" w:rsidRDefault="00565E35" w:rsidP="00565E35">
      <w:pPr>
        <w:spacing w:after="0" w:line="360" w:lineRule="auto"/>
        <w:ind w:left="720"/>
        <w:jc w:val="both"/>
        <w:rPr>
          <w:rFonts w:ascii="Times New Roman" w:hAnsi="Times New Roman"/>
          <w:sz w:val="28"/>
          <w:szCs w:val="28"/>
        </w:rPr>
      </w:pPr>
      <w:r w:rsidRPr="00565E35">
        <w:rPr>
          <w:rFonts w:ascii="Times New Roman" w:hAnsi="Times New Roman"/>
          <w:iCs/>
          <w:sz w:val="28"/>
          <w:szCs w:val="28"/>
        </w:rPr>
        <w:t>T</w:t>
      </w:r>
      <w:r w:rsidR="00764639" w:rsidRPr="00565E35">
        <w:rPr>
          <w:rFonts w:ascii="Times New Roman" w:hAnsi="Times New Roman"/>
          <w:iCs/>
          <w:sz w:val="28"/>
          <w:szCs w:val="28"/>
        </w:rPr>
        <w:t>he jurisdiction granted to the NICN by the Constitution and other statutory provisions regarding trade disputes is an appellate jurisdiction exercisable after the said disputes have gone through the co</w:t>
      </w:r>
      <w:r w:rsidRPr="00565E35">
        <w:rPr>
          <w:rFonts w:ascii="Times New Roman" w:hAnsi="Times New Roman"/>
          <w:iCs/>
          <w:sz w:val="28"/>
          <w:szCs w:val="28"/>
        </w:rPr>
        <w:t>nciliatory and arbitration body</w:t>
      </w:r>
      <w:r w:rsidR="00764639" w:rsidRPr="00565E35">
        <w:rPr>
          <w:rFonts w:ascii="Times New Roman" w:hAnsi="Times New Roman"/>
          <w:iCs/>
          <w:sz w:val="28"/>
          <w:szCs w:val="28"/>
        </w:rPr>
        <w:t>.</w:t>
      </w:r>
      <w:r w:rsidR="00764639" w:rsidRPr="00565E35">
        <w:rPr>
          <w:rFonts w:ascii="Times New Roman" w:hAnsi="Times New Roman"/>
          <w:sz w:val="28"/>
          <w:szCs w:val="28"/>
        </w:rPr>
        <w:t xml:space="preserve"> </w:t>
      </w:r>
    </w:p>
    <w:p w14:paraId="4C388FCB" w14:textId="77777777" w:rsidR="00C22BBA" w:rsidRDefault="00C22BBA" w:rsidP="00A90076">
      <w:pPr>
        <w:spacing w:after="0" w:line="360" w:lineRule="auto"/>
        <w:jc w:val="both"/>
        <w:rPr>
          <w:rFonts w:ascii="Times New Roman" w:hAnsi="Times New Roman" w:cs="Times New Roman"/>
          <w:b/>
          <w:sz w:val="26"/>
          <w:szCs w:val="26"/>
          <w:u w:val="single"/>
        </w:rPr>
      </w:pPr>
    </w:p>
    <w:p w14:paraId="2F9DEE10" w14:textId="58C2A637" w:rsidR="00C22BBA" w:rsidRDefault="00C22BBA" w:rsidP="00A90076">
      <w:pPr>
        <w:spacing w:after="0" w:line="360" w:lineRule="auto"/>
        <w:jc w:val="both"/>
        <w:rPr>
          <w:rFonts w:ascii="Times New Roman" w:hAnsi="Times New Roman" w:cs="Times New Roman"/>
          <w:b/>
          <w:sz w:val="26"/>
          <w:szCs w:val="26"/>
          <w:u w:val="single"/>
        </w:rPr>
      </w:pPr>
      <w:r w:rsidRPr="00C22BBA">
        <w:rPr>
          <w:rFonts w:ascii="Times New Roman" w:hAnsi="Times New Roman" w:cs="Times New Roman"/>
          <w:b/>
          <w:sz w:val="26"/>
          <w:szCs w:val="26"/>
          <w:u w:val="single"/>
        </w:rPr>
        <w:t>CONCLUSION</w:t>
      </w:r>
    </w:p>
    <w:p w14:paraId="3E6F73FB" w14:textId="77777777" w:rsidR="00C22BBA" w:rsidRDefault="00C22BBA" w:rsidP="00A90076">
      <w:pPr>
        <w:spacing w:after="0" w:line="360" w:lineRule="auto"/>
        <w:jc w:val="both"/>
        <w:rPr>
          <w:rFonts w:ascii="Times New Roman" w:hAnsi="Times New Roman" w:cs="Times New Roman"/>
          <w:b/>
          <w:sz w:val="26"/>
          <w:szCs w:val="26"/>
          <w:u w:val="single"/>
        </w:rPr>
      </w:pPr>
    </w:p>
    <w:p w14:paraId="227B1359" w14:textId="383308A2" w:rsidR="00C22BBA" w:rsidRPr="00C22BBA" w:rsidRDefault="0077480A" w:rsidP="00C22B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A6645E">
        <w:rPr>
          <w:rFonts w:ascii="Times New Roman" w:hAnsi="Times New Roman" w:cs="Times New Roman"/>
          <w:sz w:val="28"/>
          <w:szCs w:val="28"/>
        </w:rPr>
        <w:t xml:space="preserve">] </w:t>
      </w:r>
      <w:r w:rsidR="00C22BBA">
        <w:rPr>
          <w:rFonts w:ascii="Times New Roman" w:hAnsi="Times New Roman" w:cs="Times New Roman"/>
          <w:sz w:val="28"/>
          <w:szCs w:val="28"/>
        </w:rPr>
        <w:t xml:space="preserve">The </w:t>
      </w:r>
      <w:r w:rsidR="00026043">
        <w:rPr>
          <w:rFonts w:ascii="Times New Roman" w:hAnsi="Times New Roman" w:cs="Times New Roman"/>
          <w:sz w:val="28"/>
          <w:szCs w:val="28"/>
        </w:rPr>
        <w:t>primary task of the Industrial/</w:t>
      </w:r>
      <w:proofErr w:type="spellStart"/>
      <w:r w:rsidR="00C22BBA">
        <w:rPr>
          <w:rFonts w:ascii="Times New Roman" w:hAnsi="Times New Roman" w:cs="Times New Roman"/>
          <w:sz w:val="28"/>
          <w:szCs w:val="28"/>
        </w:rPr>
        <w:t>Labour</w:t>
      </w:r>
      <w:proofErr w:type="spellEnd"/>
      <w:r w:rsidR="00C22BBA">
        <w:rPr>
          <w:rFonts w:ascii="Times New Roman" w:hAnsi="Times New Roman" w:cs="Times New Roman"/>
          <w:sz w:val="28"/>
          <w:szCs w:val="28"/>
        </w:rPr>
        <w:t xml:space="preserve"> Court </w:t>
      </w:r>
      <w:r w:rsidR="00C22BBA">
        <w:rPr>
          <w:rFonts w:ascii="Times New Roman" w:eastAsia="Arial" w:hAnsi="Times New Roman"/>
          <w:color w:val="000000"/>
          <w:sz w:val="28"/>
          <w:szCs w:val="28"/>
        </w:rPr>
        <w:t xml:space="preserve">is to adjudicate on the disputes and in the course of such adjudication, determine the rights and wrongs of the claim made. In so doing, the </w:t>
      </w:r>
      <w:r w:rsidR="0097407F">
        <w:rPr>
          <w:rFonts w:ascii="Times New Roman" w:eastAsia="Arial" w:hAnsi="Times New Roman"/>
          <w:color w:val="000000"/>
          <w:sz w:val="28"/>
          <w:szCs w:val="28"/>
        </w:rPr>
        <w:t>NICN</w:t>
      </w:r>
      <w:r w:rsidR="00C22BBA">
        <w:rPr>
          <w:rFonts w:ascii="Times New Roman" w:eastAsia="Arial" w:hAnsi="Times New Roman"/>
          <w:color w:val="000000"/>
          <w:sz w:val="28"/>
          <w:szCs w:val="28"/>
        </w:rPr>
        <w:t xml:space="preserve"> </w:t>
      </w:r>
      <w:r w:rsidR="0097407F">
        <w:rPr>
          <w:rFonts w:ascii="Times New Roman" w:eastAsia="Arial" w:hAnsi="Times New Roman"/>
          <w:color w:val="000000"/>
          <w:sz w:val="28"/>
          <w:szCs w:val="28"/>
        </w:rPr>
        <w:t xml:space="preserve">has </w:t>
      </w:r>
      <w:r w:rsidR="0097407F">
        <w:rPr>
          <w:rFonts w:ascii="Times New Roman" w:eastAsia="Arial" w:hAnsi="Times New Roman"/>
          <w:sz w:val="28"/>
          <w:szCs w:val="28"/>
        </w:rPr>
        <w:t>applied</w:t>
      </w:r>
      <w:r w:rsidR="00C22BBA" w:rsidRPr="008B02B1">
        <w:rPr>
          <w:rFonts w:ascii="Times New Roman" w:eastAsia="Arial" w:hAnsi="Times New Roman"/>
          <w:sz w:val="28"/>
          <w:szCs w:val="28"/>
        </w:rPr>
        <w:t xml:space="preserve"> the principles of justice, equity and fairness</w:t>
      </w:r>
      <w:r w:rsidR="0097407F">
        <w:rPr>
          <w:rFonts w:ascii="Times New Roman" w:eastAsia="Arial" w:hAnsi="Times New Roman"/>
          <w:sz w:val="28"/>
          <w:szCs w:val="28"/>
        </w:rPr>
        <w:t xml:space="preserve"> in its decisions.</w:t>
      </w:r>
      <w:r w:rsidR="0097407F">
        <w:rPr>
          <w:rStyle w:val="FootnoteReference"/>
          <w:rFonts w:ascii="Times New Roman" w:eastAsia="Arial" w:hAnsi="Times New Roman"/>
          <w:sz w:val="28"/>
          <w:szCs w:val="28"/>
        </w:rPr>
        <w:footnoteReference w:id="41"/>
      </w:r>
      <w:r w:rsidR="00C22BBA" w:rsidRPr="008B02B1">
        <w:rPr>
          <w:rFonts w:ascii="Times New Roman" w:eastAsia="Arial" w:hAnsi="Times New Roman"/>
          <w:sz w:val="28"/>
          <w:szCs w:val="28"/>
        </w:rPr>
        <w:t xml:space="preserve"> </w:t>
      </w:r>
      <w:r w:rsidR="00C22BBA" w:rsidRPr="008B02B1">
        <w:rPr>
          <w:rFonts w:ascii="Times New Roman" w:hAnsi="Times New Roman"/>
          <w:sz w:val="28"/>
          <w:szCs w:val="28"/>
        </w:rPr>
        <w:t xml:space="preserve">The hallmark of adjudication in </w:t>
      </w:r>
      <w:r w:rsidR="00C22BBA">
        <w:rPr>
          <w:rFonts w:ascii="Times New Roman" w:hAnsi="Times New Roman"/>
          <w:sz w:val="28"/>
          <w:szCs w:val="28"/>
        </w:rPr>
        <w:t>the NICN</w:t>
      </w:r>
      <w:r w:rsidR="00C22BBA" w:rsidRPr="008B02B1">
        <w:rPr>
          <w:rFonts w:ascii="Times New Roman" w:hAnsi="Times New Roman"/>
          <w:sz w:val="28"/>
          <w:szCs w:val="28"/>
        </w:rPr>
        <w:t xml:space="preserve"> was succinctly put in the case of</w:t>
      </w:r>
      <w:r w:rsidR="00C22BBA" w:rsidRPr="008B02B1">
        <w:rPr>
          <w:rFonts w:ascii="Times New Roman" w:hAnsi="Times New Roman"/>
          <w:b/>
          <w:i/>
          <w:sz w:val="28"/>
          <w:szCs w:val="28"/>
        </w:rPr>
        <w:t xml:space="preserve"> </w:t>
      </w:r>
      <w:r w:rsidR="00C22BBA" w:rsidRPr="00C22BBA">
        <w:rPr>
          <w:rFonts w:ascii="Times New Roman" w:hAnsi="Times New Roman"/>
          <w:i/>
          <w:sz w:val="28"/>
          <w:szCs w:val="28"/>
        </w:rPr>
        <w:t xml:space="preserve">Dr. O. </w:t>
      </w:r>
      <w:proofErr w:type="spellStart"/>
      <w:r w:rsidR="00C22BBA" w:rsidRPr="00C22BBA">
        <w:rPr>
          <w:rFonts w:ascii="Times New Roman" w:hAnsi="Times New Roman"/>
          <w:i/>
          <w:sz w:val="28"/>
          <w:szCs w:val="28"/>
        </w:rPr>
        <w:t>Odusote</w:t>
      </w:r>
      <w:proofErr w:type="spellEnd"/>
      <w:r w:rsidR="00C22BBA" w:rsidRPr="00C22BBA">
        <w:rPr>
          <w:rFonts w:ascii="Times New Roman" w:hAnsi="Times New Roman"/>
          <w:i/>
          <w:sz w:val="28"/>
          <w:szCs w:val="28"/>
        </w:rPr>
        <w:t xml:space="preserve"> &amp; Anor vs. Lagos State Government &amp; </w:t>
      </w:r>
      <w:proofErr w:type="spellStart"/>
      <w:r w:rsidR="00C22BBA" w:rsidRPr="00C22BBA">
        <w:rPr>
          <w:rFonts w:ascii="Times New Roman" w:hAnsi="Times New Roman"/>
          <w:i/>
          <w:sz w:val="28"/>
          <w:szCs w:val="28"/>
        </w:rPr>
        <w:t>Ors</w:t>
      </w:r>
      <w:proofErr w:type="spellEnd"/>
      <w:r w:rsidR="00565E35">
        <w:rPr>
          <w:rStyle w:val="FootnoteReference"/>
          <w:rFonts w:ascii="Times New Roman" w:hAnsi="Times New Roman"/>
          <w:i/>
          <w:sz w:val="28"/>
          <w:szCs w:val="28"/>
        </w:rPr>
        <w:footnoteReference w:id="42"/>
      </w:r>
      <w:r w:rsidR="00565E35">
        <w:rPr>
          <w:rFonts w:ascii="Times New Roman" w:hAnsi="Times New Roman"/>
          <w:i/>
          <w:sz w:val="28"/>
          <w:szCs w:val="28"/>
        </w:rPr>
        <w:t xml:space="preserve"> </w:t>
      </w:r>
      <w:r w:rsidR="0097407F">
        <w:rPr>
          <w:rFonts w:ascii="Times New Roman" w:hAnsi="Times New Roman"/>
          <w:sz w:val="28"/>
          <w:szCs w:val="28"/>
        </w:rPr>
        <w:t>where t</w:t>
      </w:r>
      <w:r w:rsidR="00C22BBA">
        <w:rPr>
          <w:rFonts w:ascii="Times New Roman" w:hAnsi="Times New Roman"/>
          <w:sz w:val="28"/>
          <w:szCs w:val="28"/>
        </w:rPr>
        <w:t>he</w:t>
      </w:r>
      <w:r w:rsidR="00C22BBA" w:rsidRPr="008B02B1">
        <w:rPr>
          <w:rFonts w:ascii="Times New Roman" w:hAnsi="Times New Roman"/>
          <w:sz w:val="28"/>
          <w:szCs w:val="28"/>
        </w:rPr>
        <w:t xml:space="preserve"> Court held itself guided by the instructive and incisive holding of the Supreme Court of India in </w:t>
      </w:r>
      <w:r w:rsidR="00C22BBA" w:rsidRPr="00C22BBA">
        <w:rPr>
          <w:rFonts w:ascii="Times New Roman" w:hAnsi="Times New Roman"/>
          <w:i/>
          <w:sz w:val="28"/>
          <w:szCs w:val="28"/>
        </w:rPr>
        <w:t>NTF Mills Ltd v. The 2</w:t>
      </w:r>
      <w:r w:rsidR="00C22BBA" w:rsidRPr="00C22BBA">
        <w:rPr>
          <w:rFonts w:ascii="Times New Roman" w:hAnsi="Times New Roman"/>
          <w:i/>
          <w:sz w:val="28"/>
          <w:szCs w:val="28"/>
          <w:vertAlign w:val="superscript"/>
        </w:rPr>
        <w:t>nd</w:t>
      </w:r>
      <w:r w:rsidR="00C22BBA" w:rsidRPr="00C22BBA">
        <w:rPr>
          <w:rFonts w:ascii="Times New Roman" w:hAnsi="Times New Roman"/>
          <w:i/>
          <w:sz w:val="28"/>
          <w:szCs w:val="28"/>
        </w:rPr>
        <w:t xml:space="preserve"> Punjab Tribunal, Air 1957 SC 329</w:t>
      </w:r>
      <w:r w:rsidR="00C22BBA">
        <w:rPr>
          <w:rFonts w:ascii="Times New Roman" w:hAnsi="Times New Roman"/>
          <w:sz w:val="28"/>
          <w:szCs w:val="28"/>
        </w:rPr>
        <w:t>:</w:t>
      </w:r>
    </w:p>
    <w:p w14:paraId="66A1F946" w14:textId="77777777" w:rsidR="00C22BBA" w:rsidRDefault="00C22BBA" w:rsidP="00C22BBA">
      <w:pPr>
        <w:pStyle w:val="NoSpacing"/>
        <w:spacing w:line="360" w:lineRule="auto"/>
        <w:ind w:left="720"/>
        <w:jc w:val="both"/>
        <w:rPr>
          <w:rFonts w:ascii="Times New Roman" w:hAnsi="Times New Roman"/>
          <w:sz w:val="28"/>
          <w:szCs w:val="28"/>
        </w:rPr>
      </w:pPr>
      <w:r w:rsidRPr="008B02B1">
        <w:rPr>
          <w:rFonts w:ascii="Times New Roman" w:hAnsi="Times New Roman"/>
          <w:sz w:val="28"/>
          <w:szCs w:val="28"/>
        </w:rPr>
        <w:t>The Industrial Court</w:t>
      </w:r>
      <w:r>
        <w:rPr>
          <w:rFonts w:ascii="Times New Roman" w:hAnsi="Times New Roman"/>
          <w:sz w:val="28"/>
          <w:szCs w:val="28"/>
        </w:rPr>
        <w:t>s</w:t>
      </w:r>
      <w:r w:rsidRPr="008B02B1">
        <w:rPr>
          <w:rFonts w:ascii="Times New Roman" w:hAnsi="Times New Roman"/>
          <w:sz w:val="28"/>
          <w:szCs w:val="28"/>
        </w:rPr>
        <w:t xml:space="preserve"> are to adjudicate on the disputes between employers and their workmen, etc. and in the course of such adjudication they must determine the ‘rights’ and ‘wrong’ of the claim made, and in so doing they are undoubtedly free to apply the principles of justice, equity and good conscience, keeping in view the further principle that their jurisdiction is invoked not for the enforcement of mere contractual rights but for preventing </w:t>
      </w:r>
      <w:proofErr w:type="spellStart"/>
      <w:r w:rsidRPr="008B02B1">
        <w:rPr>
          <w:rFonts w:ascii="Times New Roman" w:hAnsi="Times New Roman"/>
          <w:sz w:val="28"/>
          <w:szCs w:val="28"/>
        </w:rPr>
        <w:t>labour</w:t>
      </w:r>
      <w:proofErr w:type="spellEnd"/>
      <w:r w:rsidRPr="008B02B1">
        <w:rPr>
          <w:rFonts w:ascii="Times New Roman" w:hAnsi="Times New Roman"/>
          <w:sz w:val="28"/>
          <w:szCs w:val="28"/>
        </w:rPr>
        <w:t xml:space="preserve"> practices regarded as unfair and for restoring industrial peace on the basis of collective bargaining.  The process does not cease to be judicial by reason of that elasticity or by reason of the application of the principles of justice, equity and good conscience.</w:t>
      </w:r>
    </w:p>
    <w:p w14:paraId="7EC50EB4" w14:textId="11E3189B" w:rsidR="00C22BBA" w:rsidRPr="008B02B1" w:rsidRDefault="00C22BBA" w:rsidP="00C22BBA">
      <w:pPr>
        <w:pStyle w:val="NoSpacing"/>
        <w:spacing w:line="360" w:lineRule="auto"/>
        <w:jc w:val="both"/>
        <w:rPr>
          <w:rFonts w:ascii="Times New Roman" w:hAnsi="Times New Roman"/>
          <w:sz w:val="16"/>
          <w:szCs w:val="16"/>
        </w:rPr>
      </w:pPr>
    </w:p>
    <w:p w14:paraId="79F74396" w14:textId="0DAE7AE4" w:rsidR="002810A5" w:rsidRPr="002810A5" w:rsidRDefault="002810A5" w:rsidP="002810A5">
      <w:pPr>
        <w:spacing w:line="360" w:lineRule="auto"/>
        <w:jc w:val="both"/>
        <w:rPr>
          <w:rFonts w:ascii="Times New Roman" w:hAnsi="Times New Roman" w:cs="Times New Roman"/>
          <w:sz w:val="28"/>
          <w:szCs w:val="28"/>
          <w:lang w:eastAsia="en-GB"/>
        </w:rPr>
      </w:pPr>
      <w:r>
        <w:rPr>
          <w:rFonts w:ascii="Times New Roman" w:hAnsi="Times New Roman"/>
          <w:sz w:val="28"/>
          <w:szCs w:val="28"/>
        </w:rPr>
        <w:t>[21]</w:t>
      </w:r>
      <w:r>
        <w:rPr>
          <w:rFonts w:ascii="Times New Roman" w:hAnsi="Times New Roman" w:cs="Times New Roman"/>
          <w:sz w:val="28"/>
          <w:szCs w:val="28"/>
        </w:rPr>
        <w:t xml:space="preserve"> </w:t>
      </w:r>
      <w:r w:rsidRPr="002810A5">
        <w:rPr>
          <w:rFonts w:ascii="Times New Roman" w:hAnsi="Times New Roman" w:cs="Times New Roman"/>
          <w:sz w:val="28"/>
          <w:szCs w:val="28"/>
          <w:lang w:eastAsia="en-GB"/>
        </w:rPr>
        <w:t>The National Industrial Court</w:t>
      </w:r>
      <w:r>
        <w:rPr>
          <w:rFonts w:ascii="Times New Roman" w:hAnsi="Times New Roman" w:cs="Times New Roman"/>
          <w:sz w:val="28"/>
          <w:szCs w:val="28"/>
          <w:lang w:eastAsia="en-GB"/>
        </w:rPr>
        <w:t xml:space="preserve"> of Nigeria</w:t>
      </w:r>
      <w:r w:rsidRPr="002810A5">
        <w:rPr>
          <w:rFonts w:ascii="Times New Roman" w:hAnsi="Times New Roman" w:cs="Times New Roman"/>
          <w:sz w:val="28"/>
          <w:szCs w:val="28"/>
          <w:lang w:eastAsia="en-GB"/>
        </w:rPr>
        <w:t xml:space="preserve"> in developing the new </w:t>
      </w:r>
      <w:proofErr w:type="spellStart"/>
      <w:r w:rsidRPr="002810A5">
        <w:rPr>
          <w:rFonts w:ascii="Times New Roman" w:hAnsi="Times New Roman" w:cs="Times New Roman"/>
          <w:sz w:val="28"/>
          <w:szCs w:val="28"/>
          <w:lang w:eastAsia="en-GB"/>
        </w:rPr>
        <w:t>labour</w:t>
      </w:r>
      <w:proofErr w:type="spellEnd"/>
      <w:r w:rsidRPr="002810A5">
        <w:rPr>
          <w:rFonts w:ascii="Times New Roman" w:hAnsi="Times New Roman" w:cs="Times New Roman"/>
          <w:sz w:val="28"/>
          <w:szCs w:val="28"/>
          <w:lang w:eastAsia="en-GB"/>
        </w:rPr>
        <w:t xml:space="preserve"> jurisprudence has been mindful of the fact that Nigeria is a signatory to international treaties relating to </w:t>
      </w:r>
      <w:proofErr w:type="spellStart"/>
      <w:r w:rsidRPr="002810A5">
        <w:rPr>
          <w:rFonts w:ascii="Times New Roman" w:hAnsi="Times New Roman" w:cs="Times New Roman"/>
          <w:sz w:val="28"/>
          <w:szCs w:val="28"/>
          <w:lang w:eastAsia="en-GB"/>
        </w:rPr>
        <w:t>labour</w:t>
      </w:r>
      <w:proofErr w:type="spellEnd"/>
      <w:r w:rsidRPr="002810A5">
        <w:rPr>
          <w:rFonts w:ascii="Times New Roman" w:hAnsi="Times New Roman" w:cs="Times New Roman"/>
          <w:sz w:val="28"/>
          <w:szCs w:val="28"/>
          <w:lang w:eastAsia="en-GB"/>
        </w:rPr>
        <w:t xml:space="preserve">, and has ratified international </w:t>
      </w:r>
      <w:proofErr w:type="spellStart"/>
      <w:r w:rsidRPr="002810A5">
        <w:rPr>
          <w:rFonts w:ascii="Times New Roman" w:hAnsi="Times New Roman" w:cs="Times New Roman"/>
          <w:sz w:val="28"/>
          <w:szCs w:val="28"/>
          <w:lang w:eastAsia="en-GB"/>
        </w:rPr>
        <w:t>labour</w:t>
      </w:r>
      <w:proofErr w:type="spellEnd"/>
      <w:r w:rsidRPr="002810A5">
        <w:rPr>
          <w:rFonts w:ascii="Times New Roman" w:hAnsi="Times New Roman" w:cs="Times New Roman"/>
          <w:sz w:val="28"/>
          <w:szCs w:val="28"/>
          <w:lang w:eastAsia="en-GB"/>
        </w:rPr>
        <w:t xml:space="preserve"> conventions which by virtue of constitutional</w:t>
      </w:r>
      <w:r w:rsidRPr="002810A5">
        <w:rPr>
          <w:rStyle w:val="FootnoteReference"/>
          <w:rFonts w:ascii="Times New Roman" w:hAnsi="Times New Roman" w:cs="Times New Roman"/>
          <w:sz w:val="28"/>
          <w:szCs w:val="28"/>
          <w:lang w:eastAsia="en-GB"/>
        </w:rPr>
        <w:footnoteReference w:id="43"/>
      </w:r>
      <w:r w:rsidRPr="002810A5">
        <w:rPr>
          <w:rFonts w:ascii="Times New Roman" w:hAnsi="Times New Roman" w:cs="Times New Roman"/>
          <w:sz w:val="28"/>
          <w:szCs w:val="28"/>
          <w:lang w:eastAsia="en-GB"/>
        </w:rPr>
        <w:t xml:space="preserve"> </w:t>
      </w:r>
      <w:r w:rsidRPr="002810A5">
        <w:rPr>
          <w:rFonts w:ascii="Times New Roman" w:hAnsi="Times New Roman" w:cs="Times New Roman"/>
          <w:sz w:val="28"/>
          <w:szCs w:val="28"/>
          <w:lang w:eastAsia="en-GB"/>
        </w:rPr>
        <w:lastRenderedPageBreak/>
        <w:t xml:space="preserve">provisions do not require domestication before application. The use and application of domestic and international law, and international best practices to resolve </w:t>
      </w:r>
      <w:proofErr w:type="spellStart"/>
      <w:r w:rsidRPr="002810A5">
        <w:rPr>
          <w:rFonts w:ascii="Times New Roman" w:hAnsi="Times New Roman" w:cs="Times New Roman"/>
          <w:sz w:val="28"/>
          <w:szCs w:val="28"/>
          <w:lang w:eastAsia="en-GB"/>
        </w:rPr>
        <w:t>labour</w:t>
      </w:r>
      <w:proofErr w:type="spellEnd"/>
      <w:r w:rsidRPr="002810A5">
        <w:rPr>
          <w:rFonts w:ascii="Times New Roman" w:hAnsi="Times New Roman" w:cs="Times New Roman"/>
          <w:sz w:val="28"/>
          <w:szCs w:val="28"/>
          <w:lang w:eastAsia="en-GB"/>
        </w:rPr>
        <w:t xml:space="preserve"> disputes has no doubt raised a standard that has delivered substantial justice to both employers and employees. I cannot conclude this paper without reproducing the position expressed by Arturo Bronstein:</w:t>
      </w:r>
      <w:r w:rsidRPr="002810A5">
        <w:rPr>
          <w:rStyle w:val="FootnoteReference"/>
          <w:rFonts w:ascii="Times New Roman" w:hAnsi="Times New Roman" w:cs="Times New Roman"/>
          <w:sz w:val="28"/>
          <w:szCs w:val="28"/>
          <w:lang w:eastAsia="en-GB"/>
        </w:rPr>
        <w:footnoteReference w:id="44"/>
      </w:r>
    </w:p>
    <w:p w14:paraId="1DE8C722" w14:textId="77777777" w:rsidR="002810A5" w:rsidRPr="002810A5" w:rsidRDefault="002810A5" w:rsidP="002810A5">
      <w:pPr>
        <w:spacing w:line="360" w:lineRule="auto"/>
        <w:ind w:left="1134" w:right="1138"/>
        <w:rPr>
          <w:rFonts w:ascii="Times New Roman" w:hAnsi="Times New Roman" w:cs="Times New Roman"/>
          <w:iCs/>
          <w:sz w:val="28"/>
          <w:szCs w:val="28"/>
        </w:rPr>
      </w:pPr>
      <w:r w:rsidRPr="002810A5">
        <w:rPr>
          <w:rFonts w:ascii="Times New Roman" w:hAnsi="Times New Roman" w:cs="Times New Roman"/>
          <w:iCs/>
          <w:sz w:val="28"/>
          <w:szCs w:val="28"/>
        </w:rPr>
        <w:t xml:space="preserve">…the goal of </w:t>
      </w:r>
      <w:proofErr w:type="spellStart"/>
      <w:r w:rsidRPr="002810A5">
        <w:rPr>
          <w:rFonts w:ascii="Times New Roman" w:hAnsi="Times New Roman" w:cs="Times New Roman"/>
          <w:iCs/>
          <w:sz w:val="28"/>
          <w:szCs w:val="28"/>
        </w:rPr>
        <w:t>labour</w:t>
      </w:r>
      <w:proofErr w:type="spellEnd"/>
      <w:r w:rsidRPr="002810A5">
        <w:rPr>
          <w:rFonts w:ascii="Times New Roman" w:hAnsi="Times New Roman" w:cs="Times New Roman"/>
          <w:iCs/>
          <w:sz w:val="28"/>
          <w:szCs w:val="28"/>
        </w:rPr>
        <w:t xml:space="preserve"> law is to ensure that no employer can be allowed to impose – and no worker can be allowed to accept – conditions of work which fall below what is understood to be a decent threshold in a given society at a given time. Thus </w:t>
      </w:r>
      <w:proofErr w:type="spellStart"/>
      <w:r w:rsidRPr="002810A5">
        <w:rPr>
          <w:rFonts w:ascii="Times New Roman" w:hAnsi="Times New Roman" w:cs="Times New Roman"/>
          <w:iCs/>
          <w:sz w:val="28"/>
          <w:szCs w:val="28"/>
        </w:rPr>
        <w:t>labour</w:t>
      </w:r>
      <w:proofErr w:type="spellEnd"/>
      <w:r w:rsidRPr="002810A5">
        <w:rPr>
          <w:rFonts w:ascii="Times New Roman" w:hAnsi="Times New Roman" w:cs="Times New Roman"/>
          <w:iCs/>
          <w:sz w:val="28"/>
          <w:szCs w:val="28"/>
        </w:rPr>
        <w:t xml:space="preserve"> law is not just a means of regulating the exchange between </w:t>
      </w:r>
      <w:proofErr w:type="spellStart"/>
      <w:r w:rsidRPr="002810A5">
        <w:rPr>
          <w:rFonts w:ascii="Times New Roman" w:hAnsi="Times New Roman" w:cs="Times New Roman"/>
          <w:iCs/>
          <w:sz w:val="28"/>
          <w:szCs w:val="28"/>
        </w:rPr>
        <w:t>labour</w:t>
      </w:r>
      <w:proofErr w:type="spellEnd"/>
      <w:r w:rsidRPr="002810A5">
        <w:rPr>
          <w:rFonts w:ascii="Times New Roman" w:hAnsi="Times New Roman" w:cs="Times New Roman"/>
          <w:iCs/>
          <w:sz w:val="28"/>
          <w:szCs w:val="28"/>
        </w:rPr>
        <w:t xml:space="preserve"> and capital as civil or commercial law does with respect to civil or commercial contracts; rather, it is a means (indeed it is the principal means) to operationalize what the International </w:t>
      </w:r>
      <w:proofErr w:type="spellStart"/>
      <w:r w:rsidRPr="002810A5">
        <w:rPr>
          <w:rFonts w:ascii="Times New Roman" w:hAnsi="Times New Roman" w:cs="Times New Roman"/>
          <w:iCs/>
          <w:sz w:val="28"/>
          <w:szCs w:val="28"/>
        </w:rPr>
        <w:t>Labour</w:t>
      </w:r>
      <w:proofErr w:type="spellEnd"/>
      <w:r w:rsidRPr="002810A5">
        <w:rPr>
          <w:rFonts w:ascii="Times New Roman" w:hAnsi="Times New Roman" w:cs="Times New Roman"/>
          <w:iCs/>
          <w:sz w:val="28"/>
          <w:szCs w:val="28"/>
        </w:rPr>
        <w:t xml:space="preserve"> Organization (ILO) nowadays defines as ‘decent work’, which, in addition to protecting the worker, calls for the respect of democracy in overall </w:t>
      </w:r>
      <w:proofErr w:type="spellStart"/>
      <w:r w:rsidRPr="002810A5">
        <w:rPr>
          <w:rFonts w:ascii="Times New Roman" w:hAnsi="Times New Roman" w:cs="Times New Roman"/>
          <w:iCs/>
          <w:sz w:val="28"/>
          <w:szCs w:val="28"/>
        </w:rPr>
        <w:t>labour</w:t>
      </w:r>
      <w:proofErr w:type="spellEnd"/>
      <w:r w:rsidRPr="002810A5">
        <w:rPr>
          <w:rFonts w:ascii="Times New Roman" w:hAnsi="Times New Roman" w:cs="Times New Roman"/>
          <w:iCs/>
          <w:sz w:val="28"/>
          <w:szCs w:val="28"/>
        </w:rPr>
        <w:t xml:space="preserve"> relations, including at the work-place.</w:t>
      </w:r>
    </w:p>
    <w:p w14:paraId="062C2BF6" w14:textId="08772E76" w:rsidR="002810A5" w:rsidRDefault="00102D73" w:rsidP="002810A5">
      <w:pPr>
        <w:spacing w:line="360" w:lineRule="auto"/>
        <w:jc w:val="both"/>
        <w:rPr>
          <w:rFonts w:ascii="Times New Roman" w:hAnsi="Times New Roman" w:cs="Times New Roman"/>
          <w:sz w:val="28"/>
          <w:szCs w:val="28"/>
          <w:lang w:eastAsia="en-GB"/>
        </w:rPr>
      </w:pPr>
      <w:r>
        <w:rPr>
          <w:rFonts w:ascii="Times New Roman" w:hAnsi="Times New Roman" w:cs="Times New Roman"/>
          <w:sz w:val="28"/>
          <w:szCs w:val="28"/>
          <w:lang w:eastAsia="en-GB"/>
        </w:rPr>
        <w:t>[22]</w:t>
      </w:r>
      <w:r w:rsidR="002810A5" w:rsidRPr="002810A5">
        <w:rPr>
          <w:rFonts w:ascii="Times New Roman" w:hAnsi="Times New Roman" w:cs="Times New Roman"/>
          <w:sz w:val="28"/>
          <w:szCs w:val="28"/>
          <w:lang w:eastAsia="en-GB"/>
        </w:rPr>
        <w:t xml:space="preserve"> There can be no doubt that </w:t>
      </w:r>
      <w:proofErr w:type="spellStart"/>
      <w:r w:rsidR="002810A5" w:rsidRPr="002810A5">
        <w:rPr>
          <w:rFonts w:ascii="Times New Roman" w:hAnsi="Times New Roman" w:cs="Times New Roman"/>
          <w:sz w:val="28"/>
          <w:szCs w:val="28"/>
          <w:lang w:eastAsia="en-GB"/>
        </w:rPr>
        <w:t>Labour</w:t>
      </w:r>
      <w:proofErr w:type="spellEnd"/>
      <w:r w:rsidR="002810A5" w:rsidRPr="002810A5">
        <w:rPr>
          <w:rFonts w:ascii="Times New Roman" w:hAnsi="Times New Roman" w:cs="Times New Roman"/>
          <w:sz w:val="28"/>
          <w:szCs w:val="28"/>
          <w:lang w:eastAsia="en-GB"/>
        </w:rPr>
        <w:t xml:space="preserve"> Law, and its practice in Nigeria has evolved in line with </w:t>
      </w:r>
      <w:r w:rsidR="000F04EE">
        <w:rPr>
          <w:rFonts w:ascii="Times New Roman" w:hAnsi="Times New Roman" w:cs="Times New Roman"/>
          <w:sz w:val="28"/>
          <w:szCs w:val="28"/>
          <w:lang w:eastAsia="en-GB"/>
        </w:rPr>
        <w:t xml:space="preserve">International best practice, and </w:t>
      </w:r>
      <w:r w:rsidR="002810A5" w:rsidRPr="002810A5">
        <w:rPr>
          <w:rFonts w:ascii="Times New Roman" w:hAnsi="Times New Roman" w:cs="Times New Roman"/>
          <w:sz w:val="28"/>
          <w:szCs w:val="28"/>
          <w:lang w:eastAsia="en-GB"/>
        </w:rPr>
        <w:t>Internatio</w:t>
      </w:r>
      <w:r w:rsidR="000F04EE">
        <w:rPr>
          <w:rFonts w:ascii="Times New Roman" w:hAnsi="Times New Roman" w:cs="Times New Roman"/>
          <w:sz w:val="28"/>
          <w:szCs w:val="28"/>
          <w:lang w:eastAsia="en-GB"/>
        </w:rPr>
        <w:t xml:space="preserve">nal </w:t>
      </w:r>
      <w:proofErr w:type="spellStart"/>
      <w:r w:rsidR="000F04EE">
        <w:rPr>
          <w:rFonts w:ascii="Times New Roman" w:hAnsi="Times New Roman" w:cs="Times New Roman"/>
          <w:sz w:val="28"/>
          <w:szCs w:val="28"/>
          <w:lang w:eastAsia="en-GB"/>
        </w:rPr>
        <w:t>Labour</w:t>
      </w:r>
      <w:proofErr w:type="spellEnd"/>
      <w:r w:rsidR="000F04EE">
        <w:rPr>
          <w:rFonts w:ascii="Times New Roman" w:hAnsi="Times New Roman" w:cs="Times New Roman"/>
          <w:sz w:val="28"/>
          <w:szCs w:val="28"/>
          <w:lang w:eastAsia="en-GB"/>
        </w:rPr>
        <w:t xml:space="preserve"> Standards (ILS)</w:t>
      </w:r>
      <w:r w:rsidR="002810A5" w:rsidRPr="002810A5">
        <w:rPr>
          <w:rFonts w:ascii="Times New Roman" w:hAnsi="Times New Roman" w:cs="Times New Roman"/>
          <w:sz w:val="28"/>
          <w:szCs w:val="28"/>
          <w:lang w:eastAsia="en-GB"/>
        </w:rPr>
        <w:t xml:space="preserve">. </w:t>
      </w:r>
    </w:p>
    <w:p w14:paraId="655E9EAC" w14:textId="79FA25DD" w:rsidR="00102D73" w:rsidRDefault="00102D73" w:rsidP="002810A5">
      <w:pPr>
        <w:spacing w:line="360" w:lineRule="auto"/>
        <w:jc w:val="both"/>
        <w:rPr>
          <w:rFonts w:ascii="Times New Roman" w:hAnsi="Times New Roman" w:cs="Times New Roman"/>
          <w:sz w:val="28"/>
          <w:szCs w:val="28"/>
          <w:lang w:eastAsia="en-GB"/>
        </w:rPr>
      </w:pPr>
      <w:r>
        <w:rPr>
          <w:rFonts w:ascii="Times New Roman" w:hAnsi="Times New Roman" w:cs="Times New Roman"/>
          <w:sz w:val="28"/>
          <w:szCs w:val="28"/>
          <w:lang w:eastAsia="en-GB"/>
        </w:rPr>
        <w:t>[23] I thank you all for your attention.</w:t>
      </w:r>
    </w:p>
    <w:p w14:paraId="35CD62BE" w14:textId="184C33B8" w:rsidR="00EB5EA6" w:rsidRPr="002810A5" w:rsidRDefault="00EB5EA6" w:rsidP="002810A5">
      <w:pPr>
        <w:spacing w:line="360" w:lineRule="auto"/>
        <w:jc w:val="both"/>
        <w:rPr>
          <w:rFonts w:ascii="Times New Roman" w:hAnsi="Times New Roman" w:cs="Times New Roman"/>
          <w:sz w:val="28"/>
          <w:szCs w:val="28"/>
          <w:lang w:eastAsia="en-GB"/>
        </w:rPr>
      </w:pPr>
    </w:p>
    <w:p w14:paraId="679F3037" w14:textId="77777777" w:rsidR="002810A5" w:rsidRPr="002810A5" w:rsidRDefault="002810A5" w:rsidP="002810A5">
      <w:pPr>
        <w:spacing w:line="360" w:lineRule="auto"/>
        <w:jc w:val="both"/>
        <w:rPr>
          <w:rFonts w:ascii="Times New Roman" w:hAnsi="Times New Roman" w:cs="Times New Roman"/>
          <w:sz w:val="28"/>
          <w:szCs w:val="28"/>
          <w:lang w:eastAsia="en-GB"/>
        </w:rPr>
      </w:pPr>
    </w:p>
    <w:p w14:paraId="3714467F" w14:textId="0023D6E2" w:rsidR="00C22BBA" w:rsidRDefault="00C22BBA" w:rsidP="002810A5">
      <w:pPr>
        <w:pStyle w:val="NoSpacing"/>
        <w:spacing w:line="360" w:lineRule="auto"/>
        <w:jc w:val="both"/>
        <w:rPr>
          <w:rFonts w:ascii="Times New Roman" w:hAnsi="Times New Roman"/>
          <w:sz w:val="28"/>
          <w:szCs w:val="28"/>
        </w:rPr>
      </w:pPr>
    </w:p>
    <w:p w14:paraId="57006B80" w14:textId="77777777" w:rsidR="00623CBD" w:rsidRDefault="00623CBD" w:rsidP="00A90076">
      <w:pPr>
        <w:spacing w:after="0" w:line="360" w:lineRule="auto"/>
        <w:jc w:val="both"/>
        <w:rPr>
          <w:rFonts w:ascii="Times New Roman" w:hAnsi="Times New Roman" w:cs="Times New Roman"/>
          <w:sz w:val="28"/>
          <w:szCs w:val="28"/>
        </w:rPr>
      </w:pPr>
    </w:p>
    <w:p w14:paraId="281FD516" w14:textId="38BA1D3C" w:rsidR="00A90076" w:rsidRDefault="00623CBD" w:rsidP="00A900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013755A1" w14:textId="037B3EEC" w:rsidR="00CF5EC9" w:rsidRDefault="00CF5EC9" w:rsidP="000939F5">
      <w:pPr>
        <w:spacing w:after="0" w:line="360" w:lineRule="auto"/>
        <w:jc w:val="both"/>
        <w:rPr>
          <w:rFonts w:ascii="Times New Roman" w:hAnsi="Times New Roman" w:cs="Times New Roman"/>
          <w:sz w:val="28"/>
          <w:szCs w:val="28"/>
        </w:rPr>
      </w:pPr>
    </w:p>
    <w:p w14:paraId="286A95A8" w14:textId="77777777" w:rsidR="00CF5EC9" w:rsidRDefault="00CF5EC9" w:rsidP="000939F5">
      <w:pPr>
        <w:spacing w:after="0" w:line="360" w:lineRule="auto"/>
        <w:jc w:val="both"/>
        <w:rPr>
          <w:rFonts w:ascii="Times New Roman" w:hAnsi="Times New Roman" w:cs="Times New Roman"/>
          <w:sz w:val="28"/>
          <w:szCs w:val="28"/>
        </w:rPr>
      </w:pPr>
    </w:p>
    <w:p w14:paraId="01023A82" w14:textId="77777777" w:rsidR="00F62547" w:rsidRPr="0053634B" w:rsidRDefault="00F62547" w:rsidP="00F62547">
      <w:pPr>
        <w:spacing w:after="0" w:line="360" w:lineRule="auto"/>
        <w:jc w:val="both"/>
        <w:rPr>
          <w:rFonts w:ascii="Times New Roman" w:hAnsi="Times New Roman" w:cs="Times New Roman"/>
          <w:sz w:val="26"/>
          <w:szCs w:val="26"/>
        </w:rPr>
      </w:pPr>
    </w:p>
    <w:p w14:paraId="40910484" w14:textId="77777777" w:rsidR="005802C3" w:rsidRDefault="005802C3"/>
    <w:sectPr w:rsidR="005802C3" w:rsidSect="00B53558">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DB5D" w14:textId="77777777" w:rsidR="00C53033" w:rsidRDefault="00C53033" w:rsidP="000939F5">
      <w:pPr>
        <w:spacing w:after="0" w:line="240" w:lineRule="auto"/>
      </w:pPr>
      <w:r>
        <w:separator/>
      </w:r>
    </w:p>
  </w:endnote>
  <w:endnote w:type="continuationSeparator" w:id="0">
    <w:p w14:paraId="2FC9F152" w14:textId="77777777" w:rsidR="00C53033" w:rsidRDefault="00C53033" w:rsidP="0009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6067" w14:textId="77777777" w:rsidR="00C53033" w:rsidRDefault="00C53033" w:rsidP="00D877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1D477E" w14:textId="77777777" w:rsidR="00C53033" w:rsidRDefault="00C53033" w:rsidP="00D877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BD43" w14:textId="77777777" w:rsidR="00C53033" w:rsidRDefault="00C53033" w:rsidP="00D877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04EE">
      <w:rPr>
        <w:rStyle w:val="PageNumber"/>
        <w:noProof/>
      </w:rPr>
      <w:t>1</w:t>
    </w:r>
    <w:r>
      <w:rPr>
        <w:rStyle w:val="PageNumber"/>
      </w:rPr>
      <w:fldChar w:fldCharType="end"/>
    </w:r>
  </w:p>
  <w:p w14:paraId="602832E7" w14:textId="77777777" w:rsidR="00C53033" w:rsidRDefault="00C53033" w:rsidP="00D877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218F" w14:textId="77777777" w:rsidR="00C53033" w:rsidRDefault="00C53033" w:rsidP="000939F5">
      <w:pPr>
        <w:spacing w:after="0" w:line="240" w:lineRule="auto"/>
      </w:pPr>
      <w:r>
        <w:separator/>
      </w:r>
    </w:p>
  </w:footnote>
  <w:footnote w:type="continuationSeparator" w:id="0">
    <w:p w14:paraId="627F7918" w14:textId="77777777" w:rsidR="00C53033" w:rsidRDefault="00C53033" w:rsidP="000939F5">
      <w:pPr>
        <w:spacing w:after="0" w:line="240" w:lineRule="auto"/>
      </w:pPr>
      <w:r>
        <w:continuationSeparator/>
      </w:r>
    </w:p>
  </w:footnote>
  <w:footnote w:id="1">
    <w:p w14:paraId="4C29E770" w14:textId="77777777" w:rsidR="00C53033" w:rsidRPr="00827995" w:rsidRDefault="00C53033" w:rsidP="000939F5">
      <w:pPr>
        <w:pStyle w:val="FootnoteText"/>
      </w:pPr>
      <w:r>
        <w:rPr>
          <w:rStyle w:val="FootnoteReference"/>
        </w:rPr>
        <w:footnoteRef/>
      </w:r>
      <w:r>
        <w:t xml:space="preserve"> Hybrid refresher course for Judges of the superior courts of record 10</w:t>
      </w:r>
      <w:r w:rsidRPr="000939F5">
        <w:rPr>
          <w:vertAlign w:val="superscript"/>
        </w:rPr>
        <w:t>th</w:t>
      </w:r>
      <w:r>
        <w:t xml:space="preserve">  - 14</w:t>
      </w:r>
      <w:r w:rsidRPr="000939F5">
        <w:rPr>
          <w:vertAlign w:val="superscript"/>
        </w:rPr>
        <w:t>th</w:t>
      </w:r>
      <w:r>
        <w:t xml:space="preserve"> February, 2025.</w:t>
      </w:r>
    </w:p>
  </w:footnote>
  <w:footnote w:id="2">
    <w:p w14:paraId="52ED8D4E" w14:textId="7EAA01BD" w:rsidR="00C53033" w:rsidRDefault="00C53033">
      <w:pPr>
        <w:pStyle w:val="FootnoteText"/>
      </w:pPr>
      <w:r>
        <w:rPr>
          <w:rStyle w:val="FootnoteReference"/>
        </w:rPr>
        <w:footnoteRef/>
      </w:r>
      <w:r>
        <w:t xml:space="preserve"> Chambers 21</w:t>
      </w:r>
      <w:r w:rsidRPr="00D20D76">
        <w:rPr>
          <w:vertAlign w:val="superscript"/>
        </w:rPr>
        <w:t>st</w:t>
      </w:r>
      <w:r>
        <w:t xml:space="preserve"> Century Dictionary Revised Edition.</w:t>
      </w:r>
    </w:p>
  </w:footnote>
  <w:footnote w:id="3">
    <w:p w14:paraId="2B3BC69D" w14:textId="0BA259AF" w:rsidR="00C53033" w:rsidRDefault="00C53033">
      <w:pPr>
        <w:pStyle w:val="FootnoteText"/>
      </w:pPr>
      <w:r>
        <w:rPr>
          <w:rStyle w:val="FootnoteReference"/>
        </w:rPr>
        <w:footnoteRef/>
      </w:r>
      <w:r>
        <w:t xml:space="preserve"> Section 1(1) Trade Union Act 2005</w:t>
      </w:r>
    </w:p>
  </w:footnote>
  <w:footnote w:id="4">
    <w:p w14:paraId="729948A3" w14:textId="3B6C96C6" w:rsidR="00C53033" w:rsidRDefault="00C53033">
      <w:pPr>
        <w:pStyle w:val="FootnoteText"/>
      </w:pPr>
      <w:r>
        <w:rPr>
          <w:rStyle w:val="FootnoteReference"/>
        </w:rPr>
        <w:footnoteRef/>
      </w:r>
      <w:r>
        <w:t xml:space="preserve"> (1995) 6 NWLR (Pt 299) 35 at 62</w:t>
      </w:r>
    </w:p>
  </w:footnote>
  <w:footnote w:id="5">
    <w:p w14:paraId="18242A94" w14:textId="169C20FB" w:rsidR="00C53033" w:rsidRDefault="00C53033">
      <w:pPr>
        <w:pStyle w:val="FootnoteText"/>
      </w:pPr>
      <w:r>
        <w:rPr>
          <w:rStyle w:val="FootnoteReference"/>
        </w:rPr>
        <w:footnoteRef/>
      </w:r>
      <w:r>
        <w:t xml:space="preserve"> Sections 53 and 54(4) of the National Industrial Court Act 2006.</w:t>
      </w:r>
    </w:p>
  </w:footnote>
  <w:footnote w:id="6">
    <w:p w14:paraId="79C8E4A4" w14:textId="655BB523" w:rsidR="00C53033" w:rsidRDefault="00C53033">
      <w:pPr>
        <w:pStyle w:val="FootnoteText"/>
      </w:pPr>
      <w:r>
        <w:rPr>
          <w:rStyle w:val="FootnoteReference"/>
        </w:rPr>
        <w:footnoteRef/>
      </w:r>
      <w:r>
        <w:t xml:space="preserve"> Section 7(1)(a) (b) (c) NICA 2006.</w:t>
      </w:r>
    </w:p>
  </w:footnote>
  <w:footnote w:id="7">
    <w:p w14:paraId="3D182536" w14:textId="19817617" w:rsidR="00C53033" w:rsidRDefault="00C53033">
      <w:pPr>
        <w:pStyle w:val="FootnoteText"/>
      </w:pPr>
      <w:r>
        <w:rPr>
          <w:rStyle w:val="FootnoteReference"/>
        </w:rPr>
        <w:footnoteRef/>
      </w:r>
      <w:r>
        <w:t xml:space="preserve"> (2010) 7 NWLR (Pt 1194) 538.</w:t>
      </w:r>
    </w:p>
  </w:footnote>
  <w:footnote w:id="8">
    <w:p w14:paraId="35515218" w14:textId="51112A8A" w:rsidR="00C53033" w:rsidRDefault="00C53033">
      <w:pPr>
        <w:pStyle w:val="FootnoteText"/>
      </w:pPr>
      <w:r>
        <w:rPr>
          <w:rStyle w:val="FootnoteReference"/>
        </w:rPr>
        <w:footnoteRef/>
      </w:r>
      <w:r>
        <w:t xml:space="preserve"> FRN Official Gazette No. 20 Vol 98 contained in Government Notice No 103 of 7</w:t>
      </w:r>
      <w:r w:rsidRPr="0099515D">
        <w:rPr>
          <w:vertAlign w:val="superscript"/>
        </w:rPr>
        <w:t>th</w:t>
      </w:r>
      <w:r>
        <w:t xml:space="preserve"> March 2011.</w:t>
      </w:r>
    </w:p>
  </w:footnote>
  <w:footnote w:id="9">
    <w:p w14:paraId="19A78F9C" w14:textId="58719C2E" w:rsidR="00C53033" w:rsidRDefault="00C53033">
      <w:pPr>
        <w:pStyle w:val="FootnoteText"/>
      </w:pPr>
      <w:r>
        <w:rPr>
          <w:rStyle w:val="FootnoteReference"/>
        </w:rPr>
        <w:footnoteRef/>
      </w:r>
      <w:r>
        <w:t xml:space="preserve"> Sections 6 (5) (cc) and 254A (1) &amp; (2) CFRN 1999.</w:t>
      </w:r>
    </w:p>
  </w:footnote>
  <w:footnote w:id="10">
    <w:p w14:paraId="4DFD7AB3" w14:textId="4AFCF532" w:rsidR="00C53033" w:rsidRDefault="00C53033">
      <w:pPr>
        <w:pStyle w:val="FootnoteText"/>
      </w:pPr>
      <w:r>
        <w:rPr>
          <w:rStyle w:val="FootnoteReference"/>
        </w:rPr>
        <w:footnoteRef/>
      </w:r>
      <w:r>
        <w:t xml:space="preserve"> Section 254C(1) to (4) CFRN 1999.</w:t>
      </w:r>
    </w:p>
  </w:footnote>
  <w:footnote w:id="11">
    <w:p w14:paraId="1F4D4EE8" w14:textId="26028D8C" w:rsidR="00C53033" w:rsidRDefault="00C53033">
      <w:pPr>
        <w:pStyle w:val="FootnoteText"/>
      </w:pPr>
      <w:r>
        <w:rPr>
          <w:rStyle w:val="FootnoteReference"/>
        </w:rPr>
        <w:footnoteRef/>
      </w:r>
      <w:r>
        <w:t xml:space="preserve"> Section 254C (5) CFRN 1999.</w:t>
      </w:r>
    </w:p>
  </w:footnote>
  <w:footnote w:id="12">
    <w:p w14:paraId="7B55D414" w14:textId="48A611B8" w:rsidR="00C53033" w:rsidRDefault="00C53033">
      <w:pPr>
        <w:pStyle w:val="FootnoteText"/>
      </w:pPr>
      <w:r>
        <w:rPr>
          <w:rStyle w:val="FootnoteReference"/>
        </w:rPr>
        <w:footnoteRef/>
      </w:r>
      <w:r>
        <w:t xml:space="preserve"> (2020) LPELR-51806 (CA).</w:t>
      </w:r>
    </w:p>
  </w:footnote>
  <w:footnote w:id="13">
    <w:p w14:paraId="7C58E456" w14:textId="60C09DC6" w:rsidR="00C53033" w:rsidRDefault="00C53033">
      <w:pPr>
        <w:pStyle w:val="FootnoteText"/>
      </w:pPr>
      <w:r>
        <w:rPr>
          <w:rStyle w:val="FootnoteReference"/>
        </w:rPr>
        <w:footnoteRef/>
      </w:r>
      <w:r>
        <w:t xml:space="preserve"> Section 1(4)(a) NICA 2006</w:t>
      </w:r>
    </w:p>
  </w:footnote>
  <w:footnote w:id="14">
    <w:p w14:paraId="2C1C6B78" w14:textId="1CDD5055" w:rsidR="00C53033" w:rsidRDefault="00C53033">
      <w:pPr>
        <w:pStyle w:val="FootnoteText"/>
      </w:pPr>
      <w:r>
        <w:rPr>
          <w:rStyle w:val="FootnoteReference"/>
        </w:rPr>
        <w:footnoteRef/>
      </w:r>
      <w:r>
        <w:t xml:space="preserve"> Section 48 Trade Disputes Act.</w:t>
      </w:r>
    </w:p>
  </w:footnote>
  <w:footnote w:id="15">
    <w:p w14:paraId="4E8D4873" w14:textId="6FF8F930" w:rsidR="00C53033" w:rsidRDefault="00C53033">
      <w:pPr>
        <w:pStyle w:val="FootnoteText"/>
      </w:pPr>
      <w:r>
        <w:rPr>
          <w:rStyle w:val="FootnoteReference"/>
        </w:rPr>
        <w:footnoteRef/>
      </w:r>
      <w:r>
        <w:t xml:space="preserve"> Section 54 NICA 2006.</w:t>
      </w:r>
    </w:p>
  </w:footnote>
  <w:footnote w:id="16">
    <w:p w14:paraId="6CF34DAA" w14:textId="77777777" w:rsidR="00C53033" w:rsidRDefault="00C53033" w:rsidP="00B7395F">
      <w:pPr>
        <w:pStyle w:val="FootnoteText"/>
      </w:pPr>
      <w:r>
        <w:rPr>
          <w:rStyle w:val="FootnoteReference"/>
        </w:rPr>
        <w:footnoteRef/>
      </w:r>
      <w:r>
        <w:t xml:space="preserve"> Section 40 1999 CFRN.</w:t>
      </w:r>
    </w:p>
  </w:footnote>
  <w:footnote w:id="17">
    <w:p w14:paraId="5C21E914" w14:textId="2451DCF9" w:rsidR="00C53033" w:rsidRDefault="00C53033">
      <w:pPr>
        <w:pStyle w:val="FootnoteText"/>
      </w:pPr>
      <w:r>
        <w:rPr>
          <w:rStyle w:val="FootnoteReference"/>
        </w:rPr>
        <w:footnoteRef/>
      </w:r>
      <w:r>
        <w:t xml:space="preserve"> Section 48 TDA.</w:t>
      </w:r>
    </w:p>
  </w:footnote>
  <w:footnote w:id="18">
    <w:p w14:paraId="494E6DE0" w14:textId="7A5B86DE" w:rsidR="00C53033" w:rsidRDefault="00C53033">
      <w:pPr>
        <w:pStyle w:val="FootnoteText"/>
      </w:pPr>
      <w:r>
        <w:rPr>
          <w:rStyle w:val="FootnoteReference"/>
        </w:rPr>
        <w:footnoteRef/>
      </w:r>
      <w:r>
        <w:t xml:space="preserve"> Section 31(6) TUA LFN 2004 as amended by the Trade Unions (Amendment) Act 2005.</w:t>
      </w:r>
    </w:p>
  </w:footnote>
  <w:footnote w:id="19">
    <w:p w14:paraId="166FA0D5" w14:textId="3E42012A" w:rsidR="00C53033" w:rsidRDefault="00C53033">
      <w:pPr>
        <w:pStyle w:val="FootnoteText"/>
      </w:pPr>
      <w:r>
        <w:rPr>
          <w:rStyle w:val="FootnoteReference"/>
        </w:rPr>
        <w:footnoteRef/>
      </w:r>
      <w:r>
        <w:t xml:space="preserve"> Sections 4, 18, and 42 TDA.</w:t>
      </w:r>
    </w:p>
  </w:footnote>
  <w:footnote w:id="20">
    <w:p w14:paraId="0C719210" w14:textId="1E18156B" w:rsidR="00C53033" w:rsidRDefault="00C53033">
      <w:pPr>
        <w:pStyle w:val="FootnoteText"/>
      </w:pPr>
      <w:r>
        <w:rPr>
          <w:rStyle w:val="FootnoteReference"/>
        </w:rPr>
        <w:footnoteRef/>
      </w:r>
      <w:r>
        <w:t xml:space="preserve"> Section 27 TUA.</w:t>
      </w:r>
    </w:p>
  </w:footnote>
  <w:footnote w:id="21">
    <w:p w14:paraId="68B5B6D7" w14:textId="0A0B7DCF" w:rsidR="00C53033" w:rsidRDefault="00C53033">
      <w:pPr>
        <w:pStyle w:val="FootnoteText"/>
      </w:pPr>
      <w:r>
        <w:rPr>
          <w:rStyle w:val="FootnoteReference"/>
        </w:rPr>
        <w:footnoteRef/>
      </w:r>
      <w:r>
        <w:t xml:space="preserve"> Section 26 TUA.</w:t>
      </w:r>
    </w:p>
  </w:footnote>
  <w:footnote w:id="22">
    <w:p w14:paraId="1EFB462A" w14:textId="20823BEB" w:rsidR="00C53033" w:rsidRDefault="00C53033">
      <w:pPr>
        <w:pStyle w:val="FootnoteText"/>
      </w:pPr>
      <w:r>
        <w:rPr>
          <w:rStyle w:val="FootnoteReference"/>
        </w:rPr>
        <w:footnoteRef/>
      </w:r>
      <w:r>
        <w:t xml:space="preserve"> (2004) 1 NLLR (Pt 2) 339.</w:t>
      </w:r>
    </w:p>
  </w:footnote>
  <w:footnote w:id="23">
    <w:p w14:paraId="5EE22249" w14:textId="6F1C860D" w:rsidR="00C53033" w:rsidRDefault="00C53033">
      <w:pPr>
        <w:pStyle w:val="FootnoteText"/>
      </w:pPr>
      <w:r>
        <w:rPr>
          <w:rStyle w:val="FootnoteReference"/>
        </w:rPr>
        <w:footnoteRef/>
      </w:r>
      <w:r>
        <w:t xml:space="preserve"> Section 47 Trade Dispute Act.</w:t>
      </w:r>
    </w:p>
  </w:footnote>
  <w:footnote w:id="24">
    <w:p w14:paraId="272DDD5A" w14:textId="13CDE564" w:rsidR="00C53033" w:rsidRDefault="00C53033">
      <w:pPr>
        <w:pStyle w:val="FootnoteText"/>
      </w:pPr>
      <w:r>
        <w:rPr>
          <w:rStyle w:val="FootnoteReference"/>
        </w:rPr>
        <w:footnoteRef/>
      </w:r>
      <w:r>
        <w:t xml:space="preserve"> Section 43(1) (b) TDA, </w:t>
      </w:r>
    </w:p>
  </w:footnote>
  <w:footnote w:id="25">
    <w:p w14:paraId="446ABDBE" w14:textId="4E659DB8" w:rsidR="00C53033" w:rsidRDefault="00C53033">
      <w:pPr>
        <w:pStyle w:val="FootnoteText"/>
      </w:pPr>
      <w:r>
        <w:rPr>
          <w:rStyle w:val="FootnoteReference"/>
        </w:rPr>
        <w:footnoteRef/>
      </w:r>
      <w:r>
        <w:t xml:space="preserve"> [2010] 18 NLLR 357</w:t>
      </w:r>
    </w:p>
  </w:footnote>
  <w:footnote w:id="26">
    <w:p w14:paraId="3CFEA10B" w14:textId="6E21A060" w:rsidR="00C53033" w:rsidRDefault="00C53033">
      <w:pPr>
        <w:pStyle w:val="FootnoteText"/>
      </w:pPr>
      <w:r>
        <w:rPr>
          <w:rStyle w:val="FootnoteReference"/>
        </w:rPr>
        <w:footnoteRef/>
      </w:r>
      <w:r>
        <w:t xml:space="preserve"> Section 18 (2) Trade Disputes Act.</w:t>
      </w:r>
    </w:p>
  </w:footnote>
  <w:footnote w:id="27">
    <w:p w14:paraId="4CFB70B4" w14:textId="0B8D3FF8" w:rsidR="00011E5E" w:rsidRDefault="00011E5E">
      <w:pPr>
        <w:pStyle w:val="FootnoteText"/>
      </w:pPr>
      <w:r>
        <w:rPr>
          <w:rStyle w:val="FootnoteReference"/>
        </w:rPr>
        <w:footnoteRef/>
      </w:r>
      <w:r>
        <w:t xml:space="preserve"> Unreported Suit No: NICN/ABJ/ 158/2023.</w:t>
      </w:r>
    </w:p>
  </w:footnote>
  <w:footnote w:id="28">
    <w:p w14:paraId="47287F5B" w14:textId="08CEC786" w:rsidR="00C53033" w:rsidRDefault="00C53033">
      <w:pPr>
        <w:pStyle w:val="FootnoteText"/>
      </w:pPr>
      <w:r>
        <w:rPr>
          <w:rStyle w:val="FootnoteReference"/>
        </w:rPr>
        <w:footnoteRef/>
      </w:r>
      <w:r>
        <w:t xml:space="preserve"> </w:t>
      </w:r>
      <w:r w:rsidR="00011E5E">
        <w:t>Unreported Suit No: NICN/EN/34/2018  ruling delivered 3</w:t>
      </w:r>
      <w:r w:rsidR="00011E5E" w:rsidRPr="00011E5E">
        <w:rPr>
          <w:vertAlign w:val="superscript"/>
        </w:rPr>
        <w:t>rd</w:t>
      </w:r>
      <w:r w:rsidR="00011E5E">
        <w:t xml:space="preserve"> June 2019.</w:t>
      </w:r>
    </w:p>
  </w:footnote>
  <w:footnote w:id="29">
    <w:p w14:paraId="6BD97B06" w14:textId="453A780E" w:rsidR="00C53033" w:rsidRDefault="00C53033">
      <w:pPr>
        <w:pStyle w:val="FootnoteText"/>
      </w:pPr>
      <w:r>
        <w:rPr>
          <w:rStyle w:val="FootnoteReference"/>
        </w:rPr>
        <w:footnoteRef/>
      </w:r>
      <w:r>
        <w:t xml:space="preserve"> TDA Cap T8 LFN 2004.</w:t>
      </w:r>
    </w:p>
  </w:footnote>
  <w:footnote w:id="30">
    <w:p w14:paraId="77A11A61" w14:textId="236D583D" w:rsidR="00C53033" w:rsidRDefault="00C53033">
      <w:pPr>
        <w:pStyle w:val="FootnoteText"/>
      </w:pPr>
      <w:r>
        <w:rPr>
          <w:rStyle w:val="FootnoteReference"/>
        </w:rPr>
        <w:footnoteRef/>
      </w:r>
      <w:r>
        <w:t xml:space="preserve"> Trade Dispute (Essential Services) Act Cap T9 LFN 2004.</w:t>
      </w:r>
    </w:p>
  </w:footnote>
  <w:footnote w:id="31">
    <w:p w14:paraId="1BBFA16F" w14:textId="53A64C4F" w:rsidR="00C53033" w:rsidRDefault="00C53033">
      <w:pPr>
        <w:pStyle w:val="FootnoteText"/>
      </w:pPr>
      <w:r>
        <w:rPr>
          <w:rStyle w:val="FootnoteReference"/>
        </w:rPr>
        <w:footnoteRef/>
      </w:r>
      <w:r>
        <w:t xml:space="preserve">  Trade unions, Associations, and Employers.</w:t>
      </w:r>
    </w:p>
  </w:footnote>
  <w:footnote w:id="32">
    <w:p w14:paraId="376A57CF" w14:textId="5EA83FA2" w:rsidR="00C53033" w:rsidRDefault="00C53033">
      <w:pPr>
        <w:pStyle w:val="FootnoteText"/>
      </w:pPr>
      <w:r>
        <w:rPr>
          <w:rStyle w:val="FootnoteReference"/>
        </w:rPr>
        <w:footnoteRef/>
      </w:r>
      <w:r>
        <w:t xml:space="preserve"> Section 4 TDA.</w:t>
      </w:r>
    </w:p>
  </w:footnote>
  <w:footnote w:id="33">
    <w:p w14:paraId="05A31334" w14:textId="53018F7A" w:rsidR="00C53033" w:rsidRDefault="00C53033">
      <w:pPr>
        <w:pStyle w:val="FootnoteText"/>
      </w:pPr>
      <w:r>
        <w:rPr>
          <w:rStyle w:val="FootnoteReference"/>
        </w:rPr>
        <w:footnoteRef/>
      </w:r>
      <w:r>
        <w:t xml:space="preserve"> Section 6(1) TDA.</w:t>
      </w:r>
    </w:p>
  </w:footnote>
  <w:footnote w:id="34">
    <w:p w14:paraId="15E62F59" w14:textId="77777777" w:rsidR="00C53033" w:rsidRDefault="00C53033" w:rsidP="00D2428F">
      <w:pPr>
        <w:pStyle w:val="FootnoteText"/>
      </w:pPr>
      <w:r>
        <w:rPr>
          <w:rStyle w:val="FootnoteReference"/>
        </w:rPr>
        <w:footnoteRef/>
      </w:r>
      <w:r>
        <w:t xml:space="preserve"> Section 5 TDA.</w:t>
      </w:r>
    </w:p>
  </w:footnote>
  <w:footnote w:id="35">
    <w:p w14:paraId="5944E7B2" w14:textId="094A4784" w:rsidR="00C53033" w:rsidRDefault="00C53033">
      <w:pPr>
        <w:pStyle w:val="FootnoteText"/>
      </w:pPr>
      <w:r>
        <w:rPr>
          <w:rStyle w:val="FootnoteReference"/>
        </w:rPr>
        <w:footnoteRef/>
      </w:r>
      <w:r>
        <w:t xml:space="preserve"> Section17 TDA.</w:t>
      </w:r>
    </w:p>
  </w:footnote>
  <w:footnote w:id="36">
    <w:p w14:paraId="256C04B7" w14:textId="2EEB78AC" w:rsidR="00C53033" w:rsidRDefault="00C53033">
      <w:pPr>
        <w:pStyle w:val="FootnoteText"/>
      </w:pPr>
      <w:r>
        <w:rPr>
          <w:rStyle w:val="FootnoteReference"/>
        </w:rPr>
        <w:footnoteRef/>
      </w:r>
      <w:r>
        <w:t xml:space="preserve"> Section 13(2) TDA, Food Beverage&amp; Tobacco Senior Staff Association (FOBTOB) v International Breweries Plc (unreported) NICN/ABJ/04/2023 judgment delivered 19</w:t>
      </w:r>
      <w:r w:rsidRPr="0018089F">
        <w:rPr>
          <w:vertAlign w:val="superscript"/>
        </w:rPr>
        <w:t>th</w:t>
      </w:r>
      <w:r>
        <w:t xml:space="preserve"> January 2024, </w:t>
      </w:r>
    </w:p>
  </w:footnote>
  <w:footnote w:id="37">
    <w:p w14:paraId="64D8677C" w14:textId="7B3BEAA2" w:rsidR="00C53033" w:rsidRDefault="00C53033">
      <w:pPr>
        <w:pStyle w:val="FootnoteText"/>
      </w:pPr>
      <w:r>
        <w:rPr>
          <w:rStyle w:val="FootnoteReference"/>
        </w:rPr>
        <w:footnoteRef/>
      </w:r>
      <w:r>
        <w:t xml:space="preserve"> Section 14(1) TDA.</w:t>
      </w:r>
    </w:p>
  </w:footnote>
  <w:footnote w:id="38">
    <w:p w14:paraId="35D824CE" w14:textId="2CF1E72A" w:rsidR="00C53033" w:rsidRDefault="00C53033">
      <w:pPr>
        <w:pStyle w:val="FootnoteText"/>
      </w:pPr>
      <w:r>
        <w:rPr>
          <w:rStyle w:val="FootnoteReference"/>
        </w:rPr>
        <w:footnoteRef/>
      </w:r>
      <w:r>
        <w:t xml:space="preserve"> Nigerian Electricity Management Services Agency (NEMSA) v National Union of Electricity Employees (unreported) Suit No: NICN/ABJ/307/2020 judgment delivered 28 January 2022.</w:t>
      </w:r>
    </w:p>
  </w:footnote>
  <w:footnote w:id="39">
    <w:p w14:paraId="72CCA49A" w14:textId="48A651F4" w:rsidR="00C53033" w:rsidRDefault="00C53033">
      <w:pPr>
        <w:pStyle w:val="FootnoteText"/>
      </w:pPr>
      <w:r>
        <w:rPr>
          <w:rStyle w:val="FootnoteReference"/>
        </w:rPr>
        <w:footnoteRef/>
      </w:r>
      <w:r>
        <w:t xml:space="preserve"> (2004) 1 NLLR (Pt 2) 286 at 302 - 303</w:t>
      </w:r>
    </w:p>
  </w:footnote>
  <w:footnote w:id="40">
    <w:p w14:paraId="5C6A2998" w14:textId="1BF38896" w:rsidR="00C53033" w:rsidRDefault="00C53033">
      <w:pPr>
        <w:pStyle w:val="FootnoteText"/>
      </w:pPr>
      <w:r>
        <w:rPr>
          <w:rStyle w:val="FootnoteReference"/>
        </w:rPr>
        <w:footnoteRef/>
      </w:r>
      <w:r>
        <w:t xml:space="preserve"> (2020) LPELR 49951 CA.</w:t>
      </w:r>
    </w:p>
  </w:footnote>
  <w:footnote w:id="41">
    <w:p w14:paraId="514B65A4" w14:textId="4573A6D2" w:rsidR="00C53033" w:rsidRDefault="00C53033">
      <w:pPr>
        <w:pStyle w:val="FootnoteText"/>
      </w:pPr>
      <w:r>
        <w:rPr>
          <w:rStyle w:val="FootnoteReference"/>
        </w:rPr>
        <w:footnoteRef/>
      </w:r>
      <w:r>
        <w:t xml:space="preserve"> Section 14 &amp; 15 NICA 2006.</w:t>
      </w:r>
    </w:p>
  </w:footnote>
  <w:footnote w:id="42">
    <w:p w14:paraId="3DC2517D" w14:textId="01B435F8" w:rsidR="00C53033" w:rsidRDefault="00C53033">
      <w:pPr>
        <w:pStyle w:val="FootnoteText"/>
      </w:pPr>
      <w:r>
        <w:rPr>
          <w:rStyle w:val="FootnoteReference"/>
        </w:rPr>
        <w:footnoteRef/>
      </w:r>
      <w:r>
        <w:t xml:space="preserve"> (2012) 28 NLLR (Pt 80) 225 at 264-265.</w:t>
      </w:r>
    </w:p>
  </w:footnote>
  <w:footnote w:id="43">
    <w:p w14:paraId="6109A27E" w14:textId="77777777" w:rsidR="00C53033" w:rsidRPr="006E2A33" w:rsidRDefault="00C53033" w:rsidP="002810A5">
      <w:pPr>
        <w:pStyle w:val="FootnoteText"/>
      </w:pPr>
      <w:r>
        <w:rPr>
          <w:rStyle w:val="FootnoteReference"/>
        </w:rPr>
        <w:footnoteRef/>
      </w:r>
      <w:r>
        <w:t xml:space="preserve"> CFRN 1999 s254C (1)(f)(h)</w:t>
      </w:r>
    </w:p>
  </w:footnote>
  <w:footnote w:id="44">
    <w:p w14:paraId="49ABA6EC" w14:textId="77777777" w:rsidR="00C53033" w:rsidRPr="00B41F0A" w:rsidRDefault="00C53033" w:rsidP="002810A5">
      <w:pPr>
        <w:pStyle w:val="FootnoteText"/>
      </w:pPr>
      <w:r>
        <w:rPr>
          <w:rStyle w:val="FootnoteReference"/>
        </w:rPr>
        <w:footnoteRef/>
      </w:r>
      <w:r>
        <w:t xml:space="preserve"> </w:t>
      </w:r>
      <w:r w:rsidRPr="00B41F0A">
        <w:rPr>
          <w:rFonts w:ascii="Times New Roman" w:hAnsi="Times New Roman" w:cs="Times New Roman"/>
          <w:iCs/>
        </w:rPr>
        <w:t>International and Comparative Labour Law: Current Challenges (Palgrave Macmillan), 2009</w:t>
      </w:r>
      <w:r w:rsidRPr="00B41F0A">
        <w:rPr>
          <w:rFonts w:ascii="Times New Roman" w:hAnsi="Times New Roman" w:cs="Times New Roman"/>
        </w:rPr>
        <w:t xml:space="preserve"> at pages 1-2</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9F5"/>
    <w:rsid w:val="00011E5E"/>
    <w:rsid w:val="00015B45"/>
    <w:rsid w:val="00017FF3"/>
    <w:rsid w:val="00026043"/>
    <w:rsid w:val="000611A5"/>
    <w:rsid w:val="0007307F"/>
    <w:rsid w:val="00084C49"/>
    <w:rsid w:val="000939F5"/>
    <w:rsid w:val="000F04EE"/>
    <w:rsid w:val="000F355B"/>
    <w:rsid w:val="00102D73"/>
    <w:rsid w:val="0012195A"/>
    <w:rsid w:val="0018089F"/>
    <w:rsid w:val="00201D8D"/>
    <w:rsid w:val="00223BBF"/>
    <w:rsid w:val="00224338"/>
    <w:rsid w:val="00232F51"/>
    <w:rsid w:val="002368A5"/>
    <w:rsid w:val="00241E33"/>
    <w:rsid w:val="00277A79"/>
    <w:rsid w:val="002810A5"/>
    <w:rsid w:val="00282AF7"/>
    <w:rsid w:val="002840FD"/>
    <w:rsid w:val="00287346"/>
    <w:rsid w:val="002922E3"/>
    <w:rsid w:val="00292F21"/>
    <w:rsid w:val="002D2D49"/>
    <w:rsid w:val="00324C7B"/>
    <w:rsid w:val="003619C5"/>
    <w:rsid w:val="00366522"/>
    <w:rsid w:val="003A2858"/>
    <w:rsid w:val="003C4C67"/>
    <w:rsid w:val="003D2082"/>
    <w:rsid w:val="0044283C"/>
    <w:rsid w:val="00472077"/>
    <w:rsid w:val="004A1CA3"/>
    <w:rsid w:val="004C0781"/>
    <w:rsid w:val="004D430E"/>
    <w:rsid w:val="004F4456"/>
    <w:rsid w:val="00513C03"/>
    <w:rsid w:val="005168D2"/>
    <w:rsid w:val="00557E21"/>
    <w:rsid w:val="00565E35"/>
    <w:rsid w:val="005764FD"/>
    <w:rsid w:val="005802C3"/>
    <w:rsid w:val="005903B8"/>
    <w:rsid w:val="005A55D1"/>
    <w:rsid w:val="005B6BFB"/>
    <w:rsid w:val="005F085E"/>
    <w:rsid w:val="00623CBD"/>
    <w:rsid w:val="00664D98"/>
    <w:rsid w:val="006675B6"/>
    <w:rsid w:val="00685817"/>
    <w:rsid w:val="006B6420"/>
    <w:rsid w:val="006D1F60"/>
    <w:rsid w:val="0076119C"/>
    <w:rsid w:val="00764639"/>
    <w:rsid w:val="0077480A"/>
    <w:rsid w:val="007D1979"/>
    <w:rsid w:val="00875752"/>
    <w:rsid w:val="008A375A"/>
    <w:rsid w:val="008C7B0C"/>
    <w:rsid w:val="008E116B"/>
    <w:rsid w:val="008F1294"/>
    <w:rsid w:val="008F3E19"/>
    <w:rsid w:val="00946669"/>
    <w:rsid w:val="0097407F"/>
    <w:rsid w:val="00982EE8"/>
    <w:rsid w:val="0099515D"/>
    <w:rsid w:val="00995E0E"/>
    <w:rsid w:val="009C1B87"/>
    <w:rsid w:val="00A210A6"/>
    <w:rsid w:val="00A24573"/>
    <w:rsid w:val="00A34D8F"/>
    <w:rsid w:val="00A35580"/>
    <w:rsid w:val="00A42CB9"/>
    <w:rsid w:val="00A6645E"/>
    <w:rsid w:val="00A8463A"/>
    <w:rsid w:val="00A90076"/>
    <w:rsid w:val="00A95E5C"/>
    <w:rsid w:val="00AD61E7"/>
    <w:rsid w:val="00AE5088"/>
    <w:rsid w:val="00B22BEE"/>
    <w:rsid w:val="00B434DF"/>
    <w:rsid w:val="00B53558"/>
    <w:rsid w:val="00B73056"/>
    <w:rsid w:val="00B7395F"/>
    <w:rsid w:val="00BC7086"/>
    <w:rsid w:val="00BD1C8F"/>
    <w:rsid w:val="00BD76D1"/>
    <w:rsid w:val="00BE10E4"/>
    <w:rsid w:val="00C108F5"/>
    <w:rsid w:val="00C12DF9"/>
    <w:rsid w:val="00C22BBA"/>
    <w:rsid w:val="00C32296"/>
    <w:rsid w:val="00C33FE3"/>
    <w:rsid w:val="00C53033"/>
    <w:rsid w:val="00CC6560"/>
    <w:rsid w:val="00CE7AB0"/>
    <w:rsid w:val="00CF5EC9"/>
    <w:rsid w:val="00D15824"/>
    <w:rsid w:val="00D20D76"/>
    <w:rsid w:val="00D2428F"/>
    <w:rsid w:val="00D4421F"/>
    <w:rsid w:val="00D45AD2"/>
    <w:rsid w:val="00D4705B"/>
    <w:rsid w:val="00D7138F"/>
    <w:rsid w:val="00D87798"/>
    <w:rsid w:val="00DA450A"/>
    <w:rsid w:val="00DD6263"/>
    <w:rsid w:val="00DF39BA"/>
    <w:rsid w:val="00E77134"/>
    <w:rsid w:val="00E8727C"/>
    <w:rsid w:val="00EA6E8C"/>
    <w:rsid w:val="00EB5EA6"/>
    <w:rsid w:val="00EE3527"/>
    <w:rsid w:val="00F127CA"/>
    <w:rsid w:val="00F25A38"/>
    <w:rsid w:val="00F5252E"/>
    <w:rsid w:val="00F62547"/>
    <w:rsid w:val="00FA6BB0"/>
    <w:rsid w:val="00FE3095"/>
    <w:rsid w:val="00FE418C"/>
    <w:rsid w:val="00FF1A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040DAD"/>
  <w14:defaultImageDpi w14:val="300"/>
  <w15:docId w15:val="{A1F7AC33-837F-F24D-A685-EC54FDDF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9F5"/>
    <w:pPr>
      <w:spacing w:after="160" w:line="259" w:lineRule="auto"/>
    </w:pPr>
    <w:rPr>
      <w:rFonts w:eastAsiaTheme="minorHAnsi"/>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939F5"/>
    <w:pPr>
      <w:spacing w:after="0" w:line="240" w:lineRule="auto"/>
    </w:pPr>
    <w:rPr>
      <w:sz w:val="20"/>
      <w:szCs w:val="20"/>
    </w:rPr>
  </w:style>
  <w:style w:type="character" w:customStyle="1" w:styleId="FootnoteTextChar">
    <w:name w:val="Footnote Text Char"/>
    <w:basedOn w:val="DefaultParagraphFont"/>
    <w:link w:val="FootnoteText"/>
    <w:uiPriority w:val="99"/>
    <w:rsid w:val="000939F5"/>
    <w:rPr>
      <w:rFonts w:eastAsiaTheme="minorHAnsi"/>
      <w:kern w:val="2"/>
      <w:sz w:val="20"/>
      <w:szCs w:val="20"/>
      <w:lang w:val="en-US"/>
      <w14:ligatures w14:val="standardContextual"/>
    </w:rPr>
  </w:style>
  <w:style w:type="character" w:styleId="FootnoteReference">
    <w:name w:val="footnote reference"/>
    <w:basedOn w:val="DefaultParagraphFont"/>
    <w:uiPriority w:val="99"/>
    <w:unhideWhenUsed/>
    <w:rsid w:val="000939F5"/>
    <w:rPr>
      <w:vertAlign w:val="superscript"/>
    </w:rPr>
  </w:style>
  <w:style w:type="paragraph" w:styleId="Footer">
    <w:name w:val="footer"/>
    <w:basedOn w:val="Normal"/>
    <w:link w:val="FooterChar"/>
    <w:uiPriority w:val="99"/>
    <w:unhideWhenUsed/>
    <w:rsid w:val="00D877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7798"/>
    <w:rPr>
      <w:rFonts w:eastAsiaTheme="minorHAnsi"/>
      <w:kern w:val="2"/>
      <w:sz w:val="22"/>
      <w:szCs w:val="22"/>
      <w:lang w:val="en-US"/>
      <w14:ligatures w14:val="standardContextual"/>
    </w:rPr>
  </w:style>
  <w:style w:type="character" w:styleId="PageNumber">
    <w:name w:val="page number"/>
    <w:basedOn w:val="DefaultParagraphFont"/>
    <w:uiPriority w:val="99"/>
    <w:semiHidden/>
    <w:unhideWhenUsed/>
    <w:rsid w:val="00D87798"/>
  </w:style>
  <w:style w:type="paragraph" w:styleId="NoSpacing">
    <w:name w:val="No Spacing"/>
    <w:link w:val="NoSpacingChar"/>
    <w:uiPriority w:val="1"/>
    <w:qFormat/>
    <w:rsid w:val="00C22BBA"/>
    <w:rPr>
      <w:rFonts w:ascii="Calibri" w:eastAsia="Times New Roman" w:hAnsi="Calibri" w:cs="Times New Roman"/>
      <w:sz w:val="22"/>
      <w:szCs w:val="22"/>
      <w:lang w:val="en-US"/>
    </w:rPr>
  </w:style>
  <w:style w:type="character" w:customStyle="1" w:styleId="NoSpacingChar">
    <w:name w:val="No Spacing Char"/>
    <w:link w:val="NoSpacing"/>
    <w:uiPriority w:val="1"/>
    <w:qFormat/>
    <w:locked/>
    <w:rsid w:val="00C22BBA"/>
    <w:rPr>
      <w:rFonts w:ascii="Calibri" w:eastAsia="Times New Roman"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3213</Words>
  <Characters>18318</Characters>
  <Application>Microsoft Office Word</Application>
  <DocSecurity>0</DocSecurity>
  <Lines>152</Lines>
  <Paragraphs>42</Paragraphs>
  <ScaleCrop>false</ScaleCrop>
  <Company>National Industrial Court</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Osat Osaghae</dc:creator>
  <cp:keywords/>
  <dc:description/>
  <cp:lastModifiedBy>2347037809099</cp:lastModifiedBy>
  <cp:revision>2</cp:revision>
  <dcterms:created xsi:type="dcterms:W3CDTF">2025-01-28T13:06:00Z</dcterms:created>
  <dcterms:modified xsi:type="dcterms:W3CDTF">2025-01-28T13:06:00Z</dcterms:modified>
</cp:coreProperties>
</file>